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media/image4.png" ContentType="image/png"/>
  <Override PartName="/word/media/image6.jpeg" ContentType="image/jpeg"/>
  <Override PartName="/word/media/image3.png" ContentType="image/png"/>
  <Override PartName="/word/media/image2.png" ContentType="image/png"/>
  <Override PartName="/word/media/image8.png" ContentType="image/png"/>
  <Override PartName="/word/media/image7.png" ContentType="image/png"/>
  <Override PartName="/word/media/image5.png" ContentType="image/png"/>
  <Override PartName="/word/media/image1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Bodytext21"/>
        <w:shd w:val="clear" w:color="auto" w:fill="auto"/>
        <w:spacing w:lineRule="auto" w:line="240" w:before="0" w:after="0"/>
        <w:ind w:hanging="0"/>
        <w:jc w:val="center"/>
        <w:rPr>
          <w:b/>
          <w:b/>
          <w:bCs/>
          <w:color w:val="000000"/>
          <w:lang w:eastAsia="ru-RU" w:bidi="ru-RU"/>
        </w:rPr>
      </w:pPr>
      <w:r>
        <w:rPr>
          <w:b/>
          <w:bCs/>
          <w:color w:val="000000"/>
          <w:lang w:eastAsia="ru-RU" w:bidi="ru-RU"/>
        </w:rPr>
        <w:t>ИНСТРУКЦИЯ</w:t>
      </w:r>
    </w:p>
    <w:p>
      <w:pPr>
        <w:pStyle w:val="Bodytext21"/>
        <w:shd w:val="clear" w:color="auto" w:fill="auto"/>
        <w:spacing w:lineRule="auto" w:line="240" w:before="0" w:after="0"/>
        <w:ind w:hanging="0"/>
        <w:jc w:val="center"/>
        <w:rPr>
          <w:b/>
          <w:b/>
          <w:bCs/>
          <w:lang w:eastAsia="ru-RU"/>
        </w:rPr>
      </w:pPr>
      <w:r>
        <w:rPr>
          <w:b/>
          <w:bCs/>
          <w:color w:val="000000"/>
          <w:lang w:eastAsia="ru-RU" w:bidi="ru-RU"/>
        </w:rPr>
        <w:t xml:space="preserve">по проверке </w:t>
      </w:r>
      <w:r>
        <w:rPr>
          <w:b/>
          <w:bCs/>
          <w:lang w:val="en-US"/>
        </w:rPr>
        <w:t>QR</w:t>
      </w:r>
      <w:r>
        <w:rPr>
          <w:b/>
          <w:bCs/>
        </w:rPr>
        <w:t>-кода</w:t>
      </w:r>
      <w:r>
        <w:rPr>
          <w:b/>
          <w:bCs/>
          <w:lang w:eastAsia="ru-RU"/>
        </w:rPr>
        <w:t>,</w:t>
      </w:r>
      <w:r>
        <w:rPr>
          <w:b/>
          <w:bCs/>
        </w:rPr>
        <w:t xml:space="preserve"> с</w:t>
      </w:r>
      <w:r>
        <w:rPr>
          <w:b/>
          <w:bCs/>
          <w:lang w:eastAsia="ru-RU"/>
        </w:rPr>
        <w:t>формированного в мобильном приложении «МАХ»,</w:t>
      </w:r>
    </w:p>
    <w:p>
      <w:pPr>
        <w:pStyle w:val="Bodytext21"/>
        <w:shd w:val="clear" w:color="auto" w:fill="auto"/>
        <w:spacing w:lineRule="auto" w:line="240" w:before="0" w:after="0"/>
        <w:ind w:hanging="0"/>
        <w:jc w:val="center"/>
        <w:rPr>
          <w:b/>
          <w:b/>
          <w:bCs/>
          <w:color w:val="000000"/>
          <w:lang w:eastAsia="ru-RU" w:bidi="ru-RU"/>
        </w:rPr>
      </w:pPr>
      <w:r>
        <w:rPr>
          <w:b/>
          <w:bCs/>
          <w:color w:val="000000"/>
          <w:lang w:eastAsia="ru-RU" w:bidi="ru-RU"/>
        </w:rPr>
        <w:t xml:space="preserve">посредством сервиса «Госкан» мобильного приложения «Госуслуги» </w:t>
      </w:r>
    </w:p>
    <w:p>
      <w:pPr>
        <w:pStyle w:val="Bodytext21"/>
        <w:shd w:val="clear" w:color="auto" w:fill="auto"/>
        <w:spacing w:lineRule="auto" w:line="240" w:before="0" w:after="0"/>
        <w:ind w:hanging="0"/>
        <w:jc w:val="center"/>
        <w:rPr>
          <w:b/>
          <w:b/>
          <w:bCs/>
          <w:color w:val="000000"/>
          <w:lang w:eastAsia="ru-RU" w:bidi="ru-RU"/>
        </w:rPr>
      </w:pPr>
      <w:r>
        <w:rPr>
          <w:b/>
          <w:bCs/>
          <w:color w:val="000000"/>
          <w:lang w:eastAsia="ru-RU" w:bidi="ru-RU"/>
        </w:rPr>
        <w:t>от лица организации</w:t>
      </w:r>
    </w:p>
    <w:p>
      <w:pPr>
        <w:pStyle w:val="Bodytext21"/>
        <w:shd w:val="clear" w:color="auto" w:fill="auto"/>
        <w:spacing w:lineRule="auto" w:line="240" w:before="0" w:after="0"/>
        <w:ind w:firstLine="76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</w:r>
    </w:p>
    <w:p>
      <w:pPr>
        <w:pStyle w:val="Bodytext21"/>
        <w:shd w:val="clear" w:color="auto" w:fill="auto"/>
        <w:spacing w:lineRule="auto" w:line="240" w:before="0" w:after="0"/>
        <w:ind w:hanging="0"/>
        <w:jc w:val="center"/>
        <w:rPr>
          <w:b/>
          <w:b/>
          <w:bCs/>
          <w:color w:val="000000"/>
          <w:lang w:eastAsia="ru-RU" w:bidi="ru-RU"/>
        </w:rPr>
      </w:pPr>
      <w:r>
        <w:rPr>
          <w:b/>
          <w:bCs/>
          <w:color w:val="000000"/>
          <w:lang w:eastAsia="ru-RU" w:bidi="ru-RU"/>
        </w:rPr>
        <w:t xml:space="preserve">Обязательные условия для проверки </w:t>
      </w:r>
      <w:r>
        <w:rPr>
          <w:b/>
          <w:bCs/>
          <w:color w:val="000000"/>
          <w:lang w:val="en-US" w:bidi="en-US"/>
        </w:rPr>
        <w:t>QR</w:t>
      </w:r>
      <w:r>
        <w:rPr>
          <w:b/>
          <w:bCs/>
          <w:color w:val="000000"/>
          <w:lang w:eastAsia="ru-RU" w:bidi="ru-RU"/>
        </w:rPr>
        <w:t>-кода от лица организации</w:t>
      </w:r>
    </w:p>
    <w:p>
      <w:pPr>
        <w:pStyle w:val="Bodytext21"/>
        <w:numPr>
          <w:ilvl w:val="0"/>
          <w:numId w:val="1"/>
        </w:numPr>
        <w:shd w:val="clear" w:color="auto" w:fill="auto"/>
        <w:spacing w:lineRule="auto" w:line="240" w:before="0" w:after="0"/>
        <w:ind w:left="0" w:firstLine="709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Наличие у проверяющего п</w:t>
      </w:r>
      <w:r>
        <w:rPr/>
        <w:t>одтвержденной</w:t>
      </w:r>
      <w:r>
        <w:rPr>
          <w:b/>
          <w:bCs/>
        </w:rPr>
        <w:t xml:space="preserve"> </w:t>
      </w:r>
      <w:r>
        <w:rPr>
          <w:color w:val="000000"/>
          <w:lang w:eastAsia="ru-RU" w:bidi="ru-RU"/>
        </w:rPr>
        <w:t>учетной записи на Едином портале государственных услуг (далее – ЕПГУ).</w:t>
      </w:r>
    </w:p>
    <w:p>
      <w:pPr>
        <w:pStyle w:val="Bodytext21"/>
        <w:numPr>
          <w:ilvl w:val="0"/>
          <w:numId w:val="1"/>
        </w:numPr>
        <w:shd w:val="clear" w:color="auto" w:fill="auto"/>
        <w:spacing w:lineRule="auto" w:line="240" w:before="0" w:after="0"/>
        <w:ind w:left="0" w:firstLine="709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Наличие у проверяющего установленного на смартфон мобильного приложения «Госуслуги» версии 24.2 и выше (далее – приложение «Госуслуги»).</w:t>
      </w:r>
    </w:p>
    <w:p>
      <w:pPr>
        <w:pStyle w:val="Bodytext21"/>
        <w:numPr>
          <w:ilvl w:val="0"/>
          <w:numId w:val="1"/>
        </w:numPr>
        <w:shd w:val="clear" w:color="auto" w:fill="auto"/>
        <w:spacing w:lineRule="auto" w:line="240" w:before="0" w:after="0"/>
        <w:ind w:left="0" w:firstLine="709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Наличие подключения смартфона проверяющего к информационной-телекоммуникационной сети «Интернет».</w:t>
      </w:r>
    </w:p>
    <w:p>
      <w:pPr>
        <w:pStyle w:val="Bodytext21"/>
        <w:numPr>
          <w:ilvl w:val="0"/>
          <w:numId w:val="1"/>
        </w:numPr>
        <w:shd w:val="clear" w:color="auto" w:fill="auto"/>
        <w:spacing w:lineRule="auto" w:line="240" w:before="0" w:after="0"/>
        <w:ind w:left="0" w:firstLine="709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Наличие у проверяющего машиночитаемой доверенности на право сканирования документов у физических лиц представителями юридических лиц (МЧД).</w:t>
      </w:r>
    </w:p>
    <w:p>
      <w:pPr>
        <w:pStyle w:val="Bodytext21"/>
        <w:shd w:val="clear" w:color="auto" w:fill="auto"/>
        <w:spacing w:lineRule="auto" w:line="240" w:before="0" w:after="0"/>
        <w:ind w:hanging="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Справочные материалы по пунктам № 1, 2</w:t>
      </w:r>
    </w:p>
    <w:tbl>
      <w:tblPr>
        <w:tblStyle w:val="a6"/>
        <w:tblW w:w="100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105"/>
        <w:gridCol w:w="143"/>
        <w:gridCol w:w="5782"/>
      </w:tblGrid>
      <w:tr>
        <w:trPr/>
        <w:tc>
          <w:tcPr>
            <w:tcW w:w="4248" w:type="dxa"/>
            <w:gridSpan w:val="2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right="-113" w:hanging="0"/>
              <w:jc w:val="left"/>
              <w:rPr>
                <w:color w:val="000000"/>
                <w:lang w:val="en-US" w:eastAsia="ru-RU" w:bidi="ru-RU"/>
              </w:rPr>
            </w:pPr>
            <w:r>
              <w:rPr>
                <w:color w:val="000000"/>
                <w:lang w:eastAsia="ru-RU" w:bidi="ru-RU"/>
              </w:rPr>
              <w:t>Как зарегистрироваться на ЕПГУ</w:t>
            </w:r>
          </w:p>
        </w:tc>
        <w:tc>
          <w:tcPr>
            <w:tcW w:w="5782" w:type="dxa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left"/>
              <w:rPr>
                <w:color w:val="000000"/>
                <w:lang w:val="en-US" w:eastAsia="ru-RU" w:bidi="ru-RU"/>
              </w:rPr>
            </w:pPr>
            <w:hyperlink r:id="rId2">
              <w:r>
                <w:rPr>
                  <w:lang w:val="en-US" w:eastAsia="ru-RU" w:bidi="ru-RU"/>
                </w:rPr>
                <w:t>https://www.gosuslugi.ru/help/faq/popular/1</w:t>
              </w:r>
            </w:hyperlink>
          </w:p>
        </w:tc>
      </w:tr>
      <w:tr>
        <w:trPr/>
        <w:tc>
          <w:tcPr>
            <w:tcW w:w="10030" w:type="dxa"/>
            <w:gridSpan w:val="3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Как подтвердить учетную запись на ЕПГУ</w:t>
            </w:r>
          </w:p>
        </w:tc>
      </w:tr>
      <w:tr>
        <w:trPr/>
        <w:tc>
          <w:tcPr>
            <w:tcW w:w="4105" w:type="dxa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right"/>
              <w:rPr>
                <w:color w:val="000000"/>
                <w:lang w:eastAsia="ru-RU" w:bidi="ru-RU"/>
              </w:rPr>
            </w:pPr>
            <w:r>
              <w:rPr>
                <w:color w:val="0B1F33"/>
              </w:rPr>
              <w:t>в центре обслуживания</w:t>
            </w:r>
          </w:p>
        </w:tc>
        <w:tc>
          <w:tcPr>
            <w:tcW w:w="5925" w:type="dxa"/>
            <w:gridSpan w:val="2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right"/>
              <w:rPr>
                <w:color w:val="0B1F33"/>
              </w:rPr>
            </w:pPr>
            <w:hyperlink r:id="rId3">
              <w:r>
                <w:rPr/>
                <w:t>https://www.gosuslugi.ru/help/faq/login/70000002</w:t>
              </w:r>
            </w:hyperlink>
          </w:p>
        </w:tc>
      </w:tr>
      <w:tr>
        <w:trPr/>
        <w:tc>
          <w:tcPr>
            <w:tcW w:w="4105" w:type="dxa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righ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через банк</w:t>
            </w:r>
          </w:p>
        </w:tc>
        <w:tc>
          <w:tcPr>
            <w:tcW w:w="5925" w:type="dxa"/>
            <w:gridSpan w:val="2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right"/>
              <w:rPr>
                <w:color w:val="000000"/>
                <w:lang w:eastAsia="ru-RU" w:bidi="ru-RU"/>
              </w:rPr>
            </w:pPr>
            <w:hyperlink r:id="rId4">
              <w:r>
                <w:rPr>
                  <w:lang w:eastAsia="ru-RU" w:bidi="ru-RU"/>
                </w:rPr>
                <w:t>https://www.gosuslugi.ru/help/faq/popular/2</w:t>
              </w:r>
            </w:hyperlink>
          </w:p>
        </w:tc>
      </w:tr>
      <w:tr>
        <w:trPr/>
        <w:tc>
          <w:tcPr>
            <w:tcW w:w="4105" w:type="dxa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right"/>
              <w:rPr>
                <w:color w:val="000000"/>
                <w:lang w:eastAsia="ru-RU" w:bidi="ru-RU"/>
              </w:rPr>
            </w:pPr>
            <w:r>
              <w:rPr>
                <w:color w:val="0B1F33"/>
                <w:shd w:fill="FFFFFF" w:val="clear"/>
              </w:rPr>
              <w:t>письмом через Почту России</w:t>
            </w:r>
          </w:p>
        </w:tc>
        <w:tc>
          <w:tcPr>
            <w:tcW w:w="5925" w:type="dxa"/>
            <w:gridSpan w:val="2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right"/>
              <w:rPr>
                <w:color w:val="000000"/>
                <w:lang w:eastAsia="ru-RU" w:bidi="ru-RU"/>
              </w:rPr>
            </w:pPr>
            <w:hyperlink r:id="rId5">
              <w:r>
                <w:rPr>
                  <w:highlight w:val="white"/>
                </w:rPr>
                <w:t>https://www.gosuslugi.ru/help/faq/login/2752</w:t>
              </w:r>
            </w:hyperlink>
          </w:p>
        </w:tc>
      </w:tr>
      <w:tr>
        <w:trPr/>
        <w:tc>
          <w:tcPr>
            <w:tcW w:w="4105" w:type="dxa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righ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 помощью электронной подписи</w:t>
            </w:r>
          </w:p>
        </w:tc>
        <w:tc>
          <w:tcPr>
            <w:tcW w:w="5925" w:type="dxa"/>
            <w:gridSpan w:val="2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right"/>
              <w:rPr>
                <w:color w:val="000000"/>
                <w:lang w:eastAsia="ru-RU" w:bidi="ru-RU"/>
              </w:rPr>
            </w:pPr>
            <w:hyperlink r:id="rId6">
              <w:r>
                <w:rPr>
                  <w:lang w:eastAsia="ru-RU" w:bidi="ru-RU"/>
                </w:rPr>
                <w:t>https://www.gosuslugi.ru/help/faq/login/3</w:t>
              </w:r>
            </w:hyperlink>
          </w:p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</w:r>
          </w:p>
        </w:tc>
      </w:tr>
      <w:tr>
        <w:trPr/>
        <w:tc>
          <w:tcPr>
            <w:tcW w:w="10030" w:type="dxa"/>
            <w:gridSpan w:val="3"/>
            <w:tcBorders/>
          </w:tcPr>
          <w:p>
            <w:pPr>
              <w:pStyle w:val="Bodytext21"/>
              <w:shd w:val="clear" w:color="auto" w:fill="auto"/>
              <w:spacing w:lineRule="auto" w:line="240" w:before="0" w:after="0"/>
              <w:ind w:hanging="0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Как установить приложение «Госуслуги» </w:t>
            </w:r>
            <w:hyperlink r:id="rId7">
              <w:r>
                <w:rPr>
                  <w:lang w:eastAsia="ru-RU" w:bidi="ru-RU"/>
                </w:rPr>
                <w:t>https://www.gosuslugi.ru/help/mobile</w:t>
              </w:r>
            </w:hyperlink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Проверка QR-кода от лица организации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16"/>
          <w:szCs w:val="16"/>
        </w:rPr>
      </w:pPr>
      <w:r>
        <w:rPr>
          <w:rFonts w:cs="Times New Roman" w:ascii="Times New Roman" w:hAnsi="Times New Roman"/>
          <w:b/>
          <w:bCs/>
          <w:sz w:val="16"/>
          <w:szCs w:val="16"/>
        </w:rPr>
      </w:r>
    </w:p>
    <w:tbl>
      <w:tblPr>
        <w:tblStyle w:val="a6"/>
        <w:tblW w:w="102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354"/>
        <w:gridCol w:w="4859"/>
      </w:tblGrid>
      <w:tr>
        <w:trPr/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 xml:space="preserve">Для проверки </w:t>
            </w:r>
            <w:r>
              <w:rPr>
                <w:rFonts w:eastAsia="Calibri" w:cs="Times New Roman" w:ascii="Times New Roman" w:hAnsi="Times New Roman"/>
                <w:sz w:val="28"/>
                <w:szCs w:val="28"/>
                <w:lang w:val="en-US"/>
              </w:rPr>
              <w:t>QR</w:t>
            </w: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-кода проверяющему необходимо: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- открыть мобильное приложение «Госуслуги»,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- авторизоваться в мобильном приложении «Госуслуги»,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- нажать на кнопку «госкан» в правом верхнем углу экрана.</w:t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8" style="width:182.25pt;height:149.25pt" o:ole="">
                  <v:imagedata r:id="rId9" o:title=""/>
                </v:shape>
                <o:OLEObject Type="Embed" ProgID="PBrush" ShapeID="ole_rId8" DrawAspect="Content" ObjectID="_461131735" r:id="rId8"/>
              </w:objec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 w:bidi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 w:bidi="ru-RU"/>
        </w:rPr>
      </w:r>
    </w:p>
    <w:tbl>
      <w:tblPr>
        <w:tblStyle w:val="a6"/>
        <w:tblW w:w="102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354"/>
        <w:gridCol w:w="4859"/>
      </w:tblGrid>
      <w:tr>
        <w:trPr/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При первом сканировании от лица организации на экране отображается информационное сообщение, которое следует закрыть, кликнув на «крестик» в верхней части окна информационного сообщения, после чего продолжить сканирование;</w:t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" wp14:anchorId="644C28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635" cy="635635"/>
                      <wp:effectExtent l="0" t="0" r="3175" b="3175"/>
                      <wp:wrapNone/>
                      <wp:docPr id="1" name="Прямоугольник 2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2" stroked="f" style="position:absolute;margin-left:0pt;margin-top:0pt;width:49.95pt;height:49.95pt" wp14:anchorId="644C281D">
                      <w10:wrap type="none"/>
                      <v:fill o:detectmouseclick="t" on="false"/>
                      <v:stroke color="#3465a4" joinstyle="round" endcap="flat"/>
                    </v:rect>
                  </w:pict>
                </mc:Fallback>
              </mc:AlternateContent>
              <w:object>
                <v:shape id="ole_rId10" style="width:188.25pt;height:126pt" o:ole="">
                  <v:imagedata r:id="rId11" o:title=""/>
                </v:shape>
                <o:OLEObject Type="Embed" ProgID="PBrush" ShapeID="ole_rId10" DrawAspect="Content" ObjectID="_635735597" r:id="rId10"/>
              </w:object>
            </w:r>
          </w:p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</w:tr>
      <w:tr>
        <w:trPr/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 xml:space="preserve">- переключиться на сканирование </w:t>
              <w:br/>
              <w:t xml:space="preserve">от лица организации до сканирования </w:t>
              <w:br/>
              <w:t>QR-кода, нажав на краткое наименование организации, выдавшей доверенность.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Наименование организации</w:t>
            </w:r>
            <w:r>
              <w:rPr>
                <w:rFonts w:eastAsia="Calibri" w:cs="Times New Roman"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отображается в верхней части экрана.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На одного проверяющего могут быть оформлены МЧД от разных организаций. Следует выбрать организацию, от лица которой необходимо произвести</w:t>
            </w:r>
            <w:r>
              <w:rPr>
                <w:rFonts w:eastAsia="Calibri" w:cs="Times New Roman"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 xml:space="preserve">сканирование </w:t>
            </w:r>
            <w:r>
              <w:rPr>
                <w:rFonts w:eastAsia="Calibri" w:cs="Times New Roman" w:ascii="Times New Roman" w:hAnsi="Times New Roman"/>
                <w:sz w:val="28"/>
                <w:szCs w:val="28"/>
                <w:lang w:val="en-US"/>
              </w:rPr>
              <w:t>QR</w:t>
            </w: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-кода.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/>
              <w:object>
                <v:shape id="ole_rId12" style="width:195pt;height:96.75pt" o:ole="">
                  <v:imagedata r:id="rId13" o:title=""/>
                </v:shape>
                <o:OLEObject Type="Embed" ProgID="PBrush" ShapeID="ole_rId12" DrawAspect="Content" ObjectID="_906634249" r:id="rId12"/>
              </w:object>
            </w:r>
          </w:p>
        </w:tc>
      </w:tr>
      <w:tr>
        <w:trPr>
          <w:trHeight w:val="6630" w:hRule="atLeast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При нажатии на ссылку «Подробнее» в верхней части экрана отображается экран с информацией о доверенности, подтверждающей полномочия проверяющего на сканирование, а также сведения об организации;</w:t>
            </w:r>
          </w:p>
        </w:tc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14" style="width:185.25pt;height:327.75pt" o:ole="">
                  <v:imagedata r:id="rId15" o:title=""/>
                </v:shape>
                <o:OLEObject Type="Embed" ProgID="PBrush" ShapeID="ole_rId14" DrawAspect="Content" ObjectID="_1138191794" r:id="rId14"/>
              </w:objec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6"/>
        <w:tblW w:w="1022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232"/>
        <w:gridCol w:w="4752"/>
        <w:gridCol w:w="237"/>
      </w:tblGrid>
      <w:tr>
        <w:trPr/>
        <w:tc>
          <w:tcPr>
            <w:tcW w:w="102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- отсканировать QR-код, для чего проверяющему необходимо навести камеру смартфона на QR-код, отображаемый на экране смартфона покупателя (варианты изображения с QR-кодом на экране смартфона покупателя представлены ниже).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" wp14:anchorId="58ABD00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635635" cy="635635"/>
                      <wp:effectExtent l="0" t="0" r="0" b="0"/>
                      <wp:wrapNone/>
                      <wp:docPr id="2" name="Прямоугольник 18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18" stroked="f" style="position:absolute;margin-left:0.05pt;margin-top:0.05pt;width:49.95pt;height:49.95pt" wp14:anchorId="58ABD007">
                      <w10:wrap type="none"/>
                      <v:fill o:detectmouseclick="t" on="false"/>
                      <v:stroke color="#3465a4" joinstyle="round" endcap="flat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4" wp14:anchorId="525881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635" cy="635635"/>
                      <wp:effectExtent l="0" t="0" r="3175" b="3175"/>
                      <wp:wrapNone/>
                      <wp:docPr id="3" name="Прямоугольник 1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1" stroked="f" style="position:absolute;margin-left:0pt;margin-top:0pt;width:49.95pt;height:49.95pt" wp14:anchorId="5258812C">
                      <w10:wrap type="none"/>
                      <v:fill o:detectmouseclick="t" on="false"/>
                      <v:stroke color="#3465a4" joinstyle="round" endcap="flat"/>
                    </v:rect>
                  </w:pict>
                </mc:Fallback>
              </mc:AlternateContent>
              <w:object>
                <v:shape id="ole_rId16" style="width:126pt;height:258pt" o:ole="">
                  <v:imagedata r:id="rId17" o:title=""/>
                </v:shape>
                <o:OLEObject Type="Embed" ProgID="PBrush" ShapeID="ole_rId16" DrawAspect="Content" ObjectID="_1352788806" r:id="rId16"/>
              </w:object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7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657350" cy="3314700"/>
                  <wp:effectExtent l="0" t="0" r="0" b="0"/>
                  <wp:docPr id="4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/>
        <w:tc>
          <w:tcPr>
            <w:tcW w:w="102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8"/>
                <w:szCs w:val="28"/>
              </w:rPr>
              <w:t>При успешном сканировании QR-кода открывается экран с информацией, подтверждающей возраст или льготный статус гражданина.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Возможные ошибки при сканировании </w:t>
      </w:r>
      <w:r>
        <w:rPr>
          <w:rFonts w:cs="Times New Roman" w:ascii="Times New Roman" w:hAnsi="Times New Roman"/>
          <w:sz w:val="28"/>
          <w:szCs w:val="28"/>
          <w:lang w:val="en-US"/>
        </w:rPr>
        <w:t>QR</w:t>
      </w:r>
      <w:r>
        <w:rPr>
          <w:rFonts w:cs="Times New Roman" w:ascii="Times New Roman" w:hAnsi="Times New Roman"/>
          <w:sz w:val="28"/>
          <w:szCs w:val="28"/>
        </w:rPr>
        <w:t>-кода</w:t>
      </w:r>
    </w:p>
    <w:tbl>
      <w:tblPr>
        <w:tblStyle w:val="a6"/>
        <w:tblW w:w="997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989"/>
        <w:gridCol w:w="4988"/>
      </w:tblGrid>
      <w:tr>
        <w:trPr/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Если QR-код не распознан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790065" cy="3295650"/>
                  <wp:effectExtent l="0" t="0" r="0" b="0"/>
                  <wp:docPr id="5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 xml:space="preserve">Если МЧД отсутствует 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или истёк срок действия МЧД</w:t>
            </w:r>
          </w:p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780540" cy="3028950"/>
                  <wp:effectExtent l="0" t="0" r="0" b="0"/>
                  <wp:docPr id="6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0" t="0" r="0" b="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21"/>
      <w:headerReference w:type="first" r:id="rId22"/>
      <w:type w:val="nextPage"/>
      <w:pgSz w:w="11906" w:h="16838"/>
      <w:pgMar w:left="1361" w:right="567" w:header="709" w:top="851" w:footer="0" w:bottom="851" w:gutter="0"/>
      <w:pgNumType w:fmt="decimal"/>
      <w:formProt w:val="false"/>
      <w:titlePg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imes New Roman">
    <w:charset w:val="01"/>
    <w:family w:val="swiss"/>
    <w:pitch w:val="default"/>
  </w:font>
  <w:font w:name="PT Sans">
    <w:charset w:val="01"/>
    <w:family w:val="swiss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790577937"/>
    </w:sdtPr>
    <w:sdtContent>
      <w:p>
        <w:pPr>
          <w:pStyle w:val="Style22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cs="Times New Roman" w:ascii="Times New Roman" w:hAnsi="Times New Roman"/>
            <w:sz w:val="24"/>
            <w:szCs w:val="24"/>
          </w:rPr>
          <w:fldChar w:fldCharType="begin"/>
        </w:r>
        <w:r>
          <w:rPr>
            <w:sz w:val="24"/>
            <w:szCs w:val="24"/>
            <w:rFonts w:cs="Times New Roman" w:ascii="Times New Roman" w:hAnsi="Times New Roman"/>
          </w:rPr>
          <w:instrText> PAGE </w:instrText>
        </w:r>
        <w:r>
          <w:rPr>
            <w:sz w:val="24"/>
            <w:szCs w:val="24"/>
            <w:rFonts w:cs="Times New Roman" w:ascii="Times New Roman" w:hAnsi="Times New Roman"/>
          </w:rPr>
          <w:fldChar w:fldCharType="separate"/>
        </w:r>
        <w:r>
          <w:rPr>
            <w:sz w:val="24"/>
            <w:szCs w:val="24"/>
            <w:rFonts w:cs="Times New Roman" w:ascii="Times New Roman" w:hAnsi="Times New Roman"/>
          </w:rPr>
          <w:t>3</w:t>
        </w:r>
        <w:r>
          <w:rPr>
            <w:sz w:val="24"/>
            <w:szCs w:val="24"/>
            <w:rFonts w:cs="Times New Roman" w:ascii="Times New Roman" w:hAnsi="Times New Roman"/>
          </w:rPr>
          <w:fldChar w:fldCharType="end"/>
        </w:r>
      </w:p>
    </w:sdtContent>
  </w:sdt>
  <w:p>
    <w:pPr>
      <w:pStyle w:val="Style22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1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51738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f51738"/>
    <w:rPr>
      <w:color w:val="0563C1" w:themeColor="hyperlink"/>
      <w:u w:val="single"/>
    </w:rPr>
  </w:style>
  <w:style w:type="character" w:styleId="Bodytext2" w:customStyle="1">
    <w:name w:val="Body text (2)_"/>
    <w:basedOn w:val="DefaultParagraphFont"/>
    <w:link w:val="Bodytext20"/>
    <w:qFormat/>
    <w:rsid w:val="00f51738"/>
    <w:rPr>
      <w:rFonts w:ascii="Times New Roman" w:hAnsi="Times New Roman" w:eastAsia="Times New Roman" w:cs="Times New Roman"/>
      <w:sz w:val="28"/>
      <w:szCs w:val="28"/>
      <w:shd w:fill="FFFFFF" w:val="clear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f51738"/>
    <w:rPr/>
  </w:style>
  <w:style w:type="character" w:styleId="1" w:customStyle="1">
    <w:name w:val="Верхний колонтитул Знак1"/>
    <w:basedOn w:val="DefaultParagraphFont"/>
    <w:uiPriority w:val="99"/>
    <w:semiHidden/>
    <w:qFormat/>
    <w:rsid w:val="00f51738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Sans" w:hAnsi="PT Sans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Bodytext21" w:customStyle="1">
    <w:name w:val="Body text (2)"/>
    <w:basedOn w:val="Normal"/>
    <w:link w:val="Bodytext2"/>
    <w:qFormat/>
    <w:rsid w:val="00f51738"/>
    <w:pPr>
      <w:widowControl w:val="false"/>
      <w:shd w:val="clear" w:color="auto" w:fill="FFFFFF"/>
      <w:spacing w:lineRule="exact" w:line="346" w:before="600" w:after="120"/>
      <w:ind w:hanging="380"/>
      <w:jc w:val="both"/>
    </w:pPr>
    <w:rPr>
      <w:rFonts w:ascii="Times New Roman" w:hAnsi="Times New Roman" w:eastAsia="Times New Roman" w:cs="Times New Roman"/>
      <w:sz w:val="28"/>
      <w:szCs w:val="28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4"/>
    <w:uiPriority w:val="99"/>
    <w:unhideWhenUsed/>
    <w:rsid w:val="00f5173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f5173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suslugi.ru/help/faq/popular/1" TargetMode="External"/><Relationship Id="rId3" Type="http://schemas.openxmlformats.org/officeDocument/2006/relationships/hyperlink" Target="https://www.gosuslugi.ru/help/faq/login/70000002" TargetMode="External"/><Relationship Id="rId4" Type="http://schemas.openxmlformats.org/officeDocument/2006/relationships/hyperlink" Target="https://www.gosuslugi.ru/help/faq/popular/2" TargetMode="External"/><Relationship Id="rId5" Type="http://schemas.openxmlformats.org/officeDocument/2006/relationships/hyperlink" Target="https://www.gosuslugi.ru/help/faq/login/2752" TargetMode="External"/><Relationship Id="rId6" Type="http://schemas.openxmlformats.org/officeDocument/2006/relationships/hyperlink" Target="https://www.gosuslugi.ru/help/faq/login/3" TargetMode="External"/><Relationship Id="rId7" Type="http://schemas.openxmlformats.org/officeDocument/2006/relationships/hyperlink" Target="https://www.gosuslugi.ru/help/mobile" TargetMode="External"/><Relationship Id="rId8" Type="http://schemas.openxmlformats.org/officeDocument/2006/relationships/oleObject" Target="embeddings/oleObject1.bin"/><Relationship Id="rId9" Type="http://schemas.openxmlformats.org/officeDocument/2006/relationships/image" Target="media/image1.png"/><Relationship Id="rId10" Type="http://schemas.openxmlformats.org/officeDocument/2006/relationships/oleObject" Target="embeddings/oleObject2.bin"/><Relationship Id="rId11" Type="http://schemas.openxmlformats.org/officeDocument/2006/relationships/image" Target="media/image2.png"/><Relationship Id="rId12" Type="http://schemas.openxmlformats.org/officeDocument/2006/relationships/oleObject" Target="embeddings/oleObject3.bin"/><Relationship Id="rId13" Type="http://schemas.openxmlformats.org/officeDocument/2006/relationships/image" Target="media/image3.png"/><Relationship Id="rId14" Type="http://schemas.openxmlformats.org/officeDocument/2006/relationships/oleObject" Target="embeddings/oleObject4.bin"/><Relationship Id="rId15" Type="http://schemas.openxmlformats.org/officeDocument/2006/relationships/image" Target="media/image4.png"/><Relationship Id="rId16" Type="http://schemas.openxmlformats.org/officeDocument/2006/relationships/oleObject" Target="embeddings/oleObject5.bin"/><Relationship Id="rId17" Type="http://schemas.openxmlformats.org/officeDocument/2006/relationships/image" Target="media/image5.png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LibreOffice/6.4.7.2$Linux_X86_64 LibreOffice_project/40$Build-2</Application>
  <Pages>2</Pages>
  <Words>309</Words>
  <Characters>2388</Characters>
  <CharactersWithSpaces>2660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2026-06-01T13:38:00Z</dcterms:created>
  <dc:creator>pankov</dc:creator>
  <dc:description/>
  <dc:language>ru-RU</dc:language>
  <cp:lastModifiedBy>pankov</cp:lastModifiedBy>
  <dcterms:modified xsi:type="dcterms:W3CDTF">2026-06-02T07:54:00Z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