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585" w:rsidRPr="00D56F6F" w:rsidRDefault="00D56F6F">
      <w:pPr>
        <w:rPr>
          <w:rFonts w:ascii="Times New Roman" w:hAnsi="Times New Roman" w:cs="Times New Roman"/>
          <w:sz w:val="24"/>
          <w:szCs w:val="24"/>
        </w:rPr>
      </w:pPr>
    </w:p>
    <w:p w:rsidR="00D56F6F" w:rsidRPr="00D56F6F" w:rsidRDefault="00D56F6F">
      <w:pPr>
        <w:rPr>
          <w:rFonts w:ascii="Times New Roman" w:hAnsi="Times New Roman" w:cs="Times New Roman"/>
          <w:sz w:val="24"/>
          <w:szCs w:val="24"/>
        </w:rPr>
      </w:pPr>
    </w:p>
    <w:p w:rsidR="00D56F6F" w:rsidRPr="00D56F6F" w:rsidRDefault="00D56F6F" w:rsidP="00D56F6F">
      <w:pPr>
        <w:jc w:val="center"/>
        <w:rPr>
          <w:rFonts w:ascii="Times New Roman" w:hAnsi="Times New Roman" w:cs="Times New Roman"/>
          <w:sz w:val="24"/>
          <w:szCs w:val="24"/>
        </w:rPr>
      </w:pPr>
      <w:r w:rsidRPr="00D56F6F">
        <w:rPr>
          <w:rFonts w:ascii="Times New Roman" w:hAnsi="Times New Roman" w:cs="Times New Roman"/>
          <w:sz w:val="24"/>
          <w:szCs w:val="24"/>
        </w:rPr>
        <w:t>Информация о результатах проведенного контрольного мероприятия «</w:t>
      </w:r>
      <w:r w:rsidRPr="00D56F6F">
        <w:rPr>
          <w:rFonts w:ascii="Times New Roman" w:hAnsi="Times New Roman" w:cs="Times New Roman"/>
          <w:sz w:val="24"/>
          <w:szCs w:val="24"/>
        </w:rPr>
        <w:t>Проверка соблюдения порядка составления, утверждения, ведения и исполнения сметы доходов и расходов Муниципального казенного учреждения Методический центр поддержки развития образования Бессоновского района в 2024 году»</w:t>
      </w:r>
    </w:p>
    <w:p w:rsidR="00D56F6F" w:rsidRPr="00D56F6F" w:rsidRDefault="00D56F6F" w:rsidP="00D56F6F">
      <w:pPr>
        <w:jc w:val="center"/>
        <w:rPr>
          <w:rFonts w:ascii="Times New Roman" w:hAnsi="Times New Roman" w:cs="Times New Roman"/>
          <w:sz w:val="24"/>
          <w:szCs w:val="24"/>
        </w:rPr>
      </w:pPr>
    </w:p>
    <w:p w:rsidR="00D56F6F" w:rsidRPr="00D56F6F" w:rsidRDefault="00D56F6F" w:rsidP="00D56F6F">
      <w:pPr>
        <w:pStyle w:val="1"/>
        <w:rPr>
          <w:sz w:val="24"/>
        </w:rPr>
      </w:pPr>
      <w:r w:rsidRPr="00D56F6F">
        <w:rPr>
          <w:color w:val="000000"/>
          <w:sz w:val="24"/>
        </w:rPr>
        <w:t xml:space="preserve">1. </w:t>
      </w:r>
      <w:r w:rsidRPr="00D56F6F">
        <w:rPr>
          <w:sz w:val="24"/>
        </w:rPr>
        <w:t>Представленные к проверке изменения показателей бюджетной сметы на 2024 год составлены по формам, утвержденным Порядком, подкреплены обоснованиями (расчетами).</w:t>
      </w:r>
    </w:p>
    <w:p w:rsidR="00D56F6F" w:rsidRPr="00D56F6F" w:rsidRDefault="00D56F6F" w:rsidP="00D56F6F">
      <w:pPr>
        <w:pStyle w:val="1"/>
        <w:rPr>
          <w:sz w:val="24"/>
        </w:rPr>
      </w:pPr>
      <w:r w:rsidRPr="00D56F6F">
        <w:rPr>
          <w:sz w:val="24"/>
        </w:rPr>
        <w:t>Показатели бюджетной сметы, изменения показателей бюджетной сметы на 2024 год и плановый период 2025-2026 годов соответствуют доведенным лимитам бюджетных обязательств, нарушения не установлены.</w:t>
      </w:r>
    </w:p>
    <w:p w:rsidR="00D56F6F" w:rsidRPr="00D56F6F" w:rsidRDefault="00D56F6F" w:rsidP="00D56F6F">
      <w:pPr>
        <w:pStyle w:val="1"/>
        <w:rPr>
          <w:sz w:val="24"/>
        </w:rPr>
      </w:pPr>
      <w:r w:rsidRPr="00D56F6F">
        <w:rPr>
          <w:color w:val="000000"/>
          <w:sz w:val="24"/>
        </w:rPr>
        <w:t xml:space="preserve">2. </w:t>
      </w:r>
      <w:r w:rsidRPr="00D56F6F">
        <w:rPr>
          <w:sz w:val="24"/>
        </w:rPr>
        <w:t xml:space="preserve">В соответствии с п.6 Инструкции по применению единого плана счетов бухгалтерского учета для органов государственной власти,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01.12.2010 №157н, организация и ведение бухгалтерского учета осуществляется субъектом учета в соответствии с учетной политикой, сформированной в соответствии с федеральными стандартами бухгалтерского учета государственных финансов и настоящей Инструкцией. </w:t>
      </w:r>
    </w:p>
    <w:p w:rsidR="00D56F6F" w:rsidRPr="00D56F6F" w:rsidRDefault="00D56F6F" w:rsidP="00D56F6F">
      <w:pPr>
        <w:shd w:val="clear" w:color="auto" w:fill="FFFFFF"/>
        <w:ind w:firstLine="567"/>
        <w:jc w:val="both"/>
        <w:rPr>
          <w:rFonts w:ascii="Times New Roman" w:hAnsi="Times New Roman" w:cs="Times New Roman"/>
          <w:bCs/>
          <w:sz w:val="24"/>
          <w:szCs w:val="24"/>
          <w:lang w:eastAsia="ru-RU"/>
        </w:rPr>
      </w:pPr>
      <w:r w:rsidRPr="00D56F6F">
        <w:rPr>
          <w:rFonts w:ascii="Times New Roman" w:hAnsi="Times New Roman" w:cs="Times New Roman"/>
          <w:bCs/>
          <w:sz w:val="24"/>
          <w:szCs w:val="24"/>
          <w:lang w:eastAsia="ru-RU"/>
        </w:rPr>
        <w:t xml:space="preserve">В ходе проведения контрольного мероприятия установлено, что учетная политика МКУ МЦПРО не содержит положений ФСБУ 14/2022 «Нематериальные активы». </w:t>
      </w:r>
    </w:p>
    <w:p w:rsidR="00D56F6F" w:rsidRPr="00D56F6F" w:rsidRDefault="00D56F6F" w:rsidP="00D56F6F">
      <w:pPr>
        <w:pStyle w:val="1"/>
        <w:rPr>
          <w:sz w:val="24"/>
        </w:rPr>
      </w:pPr>
      <w:r w:rsidRPr="00D56F6F">
        <w:rPr>
          <w:bCs w:val="0"/>
          <w:sz w:val="24"/>
        </w:rPr>
        <w:t xml:space="preserve">3. </w:t>
      </w:r>
      <w:r w:rsidRPr="00D56F6F">
        <w:rPr>
          <w:sz w:val="24"/>
        </w:rPr>
        <w:t>В соответствии с п. пункта 302 Инструкции N 157н, п. 3 письма Минфина России от 02.04.2021 № 02-07-07/25218 расходы на приобретение субъектом учета прав пользования на результаты интеллектуальной деятельности, срок полезного использования которых составляет не более 12 месяцев, но переходит за пределы года их приобретения (создания), отражаются на счете </w:t>
      </w:r>
      <w:hyperlink r:id="rId4" w:anchor="/document/12181733/entry/4015" w:history="1">
        <w:r w:rsidRPr="00D56F6F">
          <w:rPr>
            <w:sz w:val="24"/>
          </w:rPr>
          <w:t>040150000</w:t>
        </w:r>
      </w:hyperlink>
      <w:r w:rsidRPr="00D56F6F">
        <w:rPr>
          <w:sz w:val="24"/>
        </w:rPr>
        <w:t xml:space="preserve"> "Расходы будущих периодов". </w:t>
      </w:r>
    </w:p>
    <w:p w:rsidR="00D56F6F" w:rsidRPr="00D56F6F" w:rsidRDefault="00D56F6F" w:rsidP="00D56F6F">
      <w:pPr>
        <w:pStyle w:val="1"/>
        <w:rPr>
          <w:sz w:val="24"/>
        </w:rPr>
      </w:pPr>
      <w:r w:rsidRPr="00D56F6F">
        <w:rPr>
          <w:sz w:val="24"/>
        </w:rPr>
        <w:t>В нарушение требований пункта 302 Инструкции N 157н, п. 3 письма Минфина России от 02.04.2021 № 02-07-07/25218 МКУ МЦПРО Бессоновского района стоимость приобретенной неисключительной лицензии на право использования программ для ЭВМ не отражена в учете на счете 401 50 «Расходы будущих периодов» с последующим равномерным списанием на расходы. В результате не отражения стоимости неисключительного права программного продукта в строке 160 баланса учреждения за 2024 год нарушена методология ведения бухгалтерского учета и искажена бухгалтерская отчетность на сумму 2336,4 руб.</w:t>
      </w:r>
    </w:p>
    <w:p w:rsidR="00D56F6F" w:rsidRPr="00D56F6F" w:rsidRDefault="00D56F6F" w:rsidP="00D56F6F">
      <w:pPr>
        <w:pStyle w:val="1"/>
        <w:rPr>
          <w:sz w:val="24"/>
        </w:rPr>
      </w:pPr>
      <w:r w:rsidRPr="00D56F6F">
        <w:rPr>
          <w:sz w:val="24"/>
        </w:rPr>
        <w:t>4. Государственные (муниципальные) учреждения при отражении фактов финансово-хозяйственной деятельности применяют формы первичных учетных документов, приведенные в Приказе Минфина РФ № 52н и 61н. Так как этими документами не установлена унифицированная форма путевого листа, то, в соответствии с п. 4 ст. 9 Федерального закона «О бухгалтерском учете», она утверждается учетной политикой с учетом положений Приказа Минтранса от 28.09.2022 № 390.</w:t>
      </w:r>
    </w:p>
    <w:p w:rsidR="00D56F6F" w:rsidRDefault="00D56F6F" w:rsidP="00D56F6F">
      <w:pPr>
        <w:pStyle w:val="1"/>
        <w:rPr>
          <w:sz w:val="24"/>
        </w:rPr>
      </w:pPr>
      <w:r w:rsidRPr="00D56F6F">
        <w:rPr>
          <w:sz w:val="24"/>
        </w:rPr>
        <w:t>В нарушение положений о бухучете в учетной политике МКУ МЦПРО отсутствует утвержденная форма путевого листа легкового автомобиля, учреждение производило списание материальных запасов по не утвержденному первичному документу (путевому листу).</w:t>
      </w:r>
    </w:p>
    <w:p w:rsidR="00D56F6F" w:rsidRDefault="00D56F6F" w:rsidP="00D56F6F">
      <w:pPr>
        <w:pStyle w:val="1"/>
        <w:rPr>
          <w:sz w:val="24"/>
        </w:rPr>
      </w:pPr>
    </w:p>
    <w:p w:rsidR="00D56F6F" w:rsidRDefault="00D56F6F" w:rsidP="00D56F6F">
      <w:pPr>
        <w:pStyle w:val="1"/>
        <w:rPr>
          <w:sz w:val="24"/>
        </w:rPr>
      </w:pPr>
    </w:p>
    <w:p w:rsidR="00D56F6F" w:rsidRDefault="00D56F6F" w:rsidP="00D56F6F">
      <w:pPr>
        <w:pStyle w:val="1"/>
        <w:rPr>
          <w:sz w:val="24"/>
        </w:rPr>
      </w:pPr>
    </w:p>
    <w:p w:rsidR="00D56F6F" w:rsidRDefault="00D56F6F" w:rsidP="00D56F6F">
      <w:pPr>
        <w:pStyle w:val="1"/>
        <w:rPr>
          <w:sz w:val="24"/>
        </w:rPr>
      </w:pPr>
    </w:p>
    <w:p w:rsidR="00D56F6F" w:rsidRDefault="00D56F6F" w:rsidP="00D56F6F">
      <w:pPr>
        <w:pStyle w:val="1"/>
        <w:rPr>
          <w:sz w:val="24"/>
        </w:rPr>
      </w:pPr>
    </w:p>
    <w:p w:rsidR="00D56F6F" w:rsidRDefault="00D56F6F" w:rsidP="00D56F6F">
      <w:pPr>
        <w:pStyle w:val="1"/>
        <w:rPr>
          <w:sz w:val="24"/>
        </w:rPr>
      </w:pPr>
    </w:p>
    <w:p w:rsidR="00D56F6F" w:rsidRPr="00D56F6F" w:rsidRDefault="00D56F6F" w:rsidP="00D56F6F">
      <w:pPr>
        <w:pStyle w:val="1"/>
        <w:rPr>
          <w:sz w:val="24"/>
        </w:rPr>
      </w:pPr>
    </w:p>
    <w:p w:rsidR="00D56F6F" w:rsidRPr="00D56F6F" w:rsidRDefault="00D56F6F" w:rsidP="00D56F6F">
      <w:pPr>
        <w:pStyle w:val="1"/>
        <w:rPr>
          <w:sz w:val="24"/>
        </w:rPr>
      </w:pPr>
      <w:r w:rsidRPr="00D56F6F">
        <w:rPr>
          <w:sz w:val="24"/>
        </w:rPr>
        <w:t>5. В ходе проверки порядка списания материальных запасов установлено нарушение требований приказа Минтранса от 28.09.2022 г. N 390 во всех путевых листах отсутствуют сведения обязательные для заполнения:</w:t>
      </w:r>
    </w:p>
    <w:p w:rsidR="00D56F6F" w:rsidRPr="00D56F6F" w:rsidRDefault="00D56F6F" w:rsidP="00D56F6F">
      <w:pPr>
        <w:pStyle w:val="1"/>
        <w:rPr>
          <w:sz w:val="24"/>
        </w:rPr>
      </w:pPr>
      <w:r w:rsidRPr="00D56F6F">
        <w:rPr>
          <w:sz w:val="24"/>
        </w:rPr>
        <w:t>- срок действия путевого листа;</w:t>
      </w:r>
    </w:p>
    <w:p w:rsidR="00D56F6F" w:rsidRPr="00D56F6F" w:rsidRDefault="00D56F6F" w:rsidP="00D56F6F">
      <w:pPr>
        <w:pStyle w:val="1"/>
        <w:rPr>
          <w:sz w:val="24"/>
        </w:rPr>
      </w:pPr>
      <w:r w:rsidRPr="00D56F6F">
        <w:rPr>
          <w:sz w:val="24"/>
        </w:rPr>
        <w:t>- дата выпуска транспортного средства на линию;</w:t>
      </w:r>
    </w:p>
    <w:p w:rsidR="00D56F6F" w:rsidRPr="00D56F6F" w:rsidRDefault="00D56F6F" w:rsidP="00D56F6F">
      <w:pPr>
        <w:pStyle w:val="1"/>
        <w:rPr>
          <w:sz w:val="24"/>
        </w:rPr>
      </w:pPr>
      <w:r w:rsidRPr="00D56F6F">
        <w:rPr>
          <w:sz w:val="24"/>
        </w:rPr>
        <w:t>- дата выдачи водительского удостоверения;</w:t>
      </w:r>
    </w:p>
    <w:p w:rsidR="00D56F6F" w:rsidRPr="00D56F6F" w:rsidRDefault="00D56F6F" w:rsidP="00D56F6F">
      <w:pPr>
        <w:pStyle w:val="1"/>
        <w:rPr>
          <w:sz w:val="24"/>
        </w:rPr>
      </w:pPr>
      <w:r w:rsidRPr="00D56F6F">
        <w:rPr>
          <w:sz w:val="24"/>
        </w:rPr>
        <w:t xml:space="preserve">Также на оборотной стороне путевого листа отсутствует подробное и последовательное указание маршрута с конкретными пунктами назначениями и временем для обоснования расходов на ГСМ, что ставит под сомнение обоснованность списания мат. запасов. </w:t>
      </w:r>
    </w:p>
    <w:p w:rsidR="00D56F6F" w:rsidRPr="00D56F6F" w:rsidRDefault="00D56F6F" w:rsidP="00D56F6F">
      <w:pPr>
        <w:pStyle w:val="1"/>
        <w:rPr>
          <w:sz w:val="24"/>
        </w:rPr>
      </w:pPr>
      <w:r w:rsidRPr="00D56F6F">
        <w:rPr>
          <w:sz w:val="24"/>
        </w:rPr>
        <w:t xml:space="preserve">6. Выборочной проверкой оформления первичных документов по учету, движению и списанию   объектов   основных   средств   установлено, что в нарушение п.102 - п.105 Приказа Минфина России от 15 апреля 2021 г. N 61н в содержательной части инвентарных карточек не отражены обязательные для заполнения реквизиты. </w:t>
      </w:r>
    </w:p>
    <w:p w:rsidR="00D56F6F" w:rsidRPr="00D56F6F" w:rsidRDefault="00D56F6F" w:rsidP="00D56F6F">
      <w:pPr>
        <w:pStyle w:val="1"/>
        <w:rPr>
          <w:sz w:val="24"/>
        </w:rPr>
      </w:pPr>
      <w:r w:rsidRPr="00D56F6F">
        <w:rPr>
          <w:sz w:val="24"/>
        </w:rPr>
        <w:t>Инвентарный номер в инвентарной карточке не соответствует инвентарному номеру в оборотной ведомости, это свидетельствует о нарушении порядка учета объектов нефинансовых активов. Согласно п.46 Инструкции Минфина России от 30 марта 2015 г. № 157н «Об учете основных средств» и учетной политике учреждения, каждому объекту основного средства присваивается уникальный инвентарный номер, который должен быть отражен во всех учетных регистрах, включая инвентарную карточку и оборотную ведомость. Несоответствие номеров нарушает требования достоверного. В результате не обеспечивается идентификация основных средств и, как следствие, сохранность имущества.</w:t>
      </w:r>
    </w:p>
    <w:p w:rsidR="00D56F6F" w:rsidRPr="00D56F6F" w:rsidRDefault="00D56F6F" w:rsidP="00D56F6F">
      <w:pPr>
        <w:pStyle w:val="1"/>
        <w:rPr>
          <w:sz w:val="24"/>
        </w:rPr>
      </w:pPr>
      <w:r w:rsidRPr="00D56F6F">
        <w:rPr>
          <w:sz w:val="24"/>
        </w:rPr>
        <w:t>7. В оборотной ведомости по счету 1 105 00 000 отсутствует приход и расход канцтоваров, что не обеспечивает полноту учета движения этих материальных запасов.</w:t>
      </w:r>
    </w:p>
    <w:p w:rsidR="00D56F6F" w:rsidRPr="00D56F6F" w:rsidRDefault="00D56F6F" w:rsidP="00D56F6F">
      <w:pPr>
        <w:pStyle w:val="1"/>
        <w:rPr>
          <w:sz w:val="24"/>
        </w:rPr>
      </w:pPr>
      <w:r w:rsidRPr="00D56F6F">
        <w:rPr>
          <w:sz w:val="24"/>
        </w:rPr>
        <w:t>8. При анализе Положения о выплатах за дополнительный объем работ Контрольно-счетная комиссия отметила, что пунктом 5 утверждено основание для выплаты за дополнительный объем работ для выплаты за осуществление работы по антитеррористической деятельности уборщику служебных помещений.</w:t>
      </w:r>
    </w:p>
    <w:p w:rsidR="00D56F6F" w:rsidRPr="00D56F6F" w:rsidRDefault="00D56F6F" w:rsidP="00D56F6F">
      <w:pPr>
        <w:pStyle w:val="1"/>
        <w:rPr>
          <w:sz w:val="24"/>
        </w:rPr>
      </w:pPr>
      <w:r w:rsidRPr="00D56F6F">
        <w:rPr>
          <w:sz w:val="24"/>
        </w:rPr>
        <w:t xml:space="preserve">Требования по антитеррористической защищенности объектов образовательных учреждений общего, среднего профессионального и соответствующего дополнительного профессионального образования, профессионального обучения, дополнительного образования детей и взрослых установлены постановлением Правительства Российской Федерации от 02.08.2019 № 1006. </w:t>
      </w:r>
    </w:p>
    <w:p w:rsidR="00D56F6F" w:rsidRDefault="00D56F6F" w:rsidP="00D56F6F">
      <w:pPr>
        <w:pStyle w:val="1"/>
        <w:rPr>
          <w:sz w:val="24"/>
        </w:rPr>
      </w:pPr>
      <w:r w:rsidRPr="00D56F6F">
        <w:rPr>
          <w:sz w:val="24"/>
        </w:rPr>
        <w:t>Согласно п. 2 указанного постановления Правительства под объектами</w:t>
      </w:r>
      <w:r w:rsidRPr="00D56F6F">
        <w:rPr>
          <w:color w:val="22272F"/>
          <w:sz w:val="24"/>
          <w:shd w:val="clear" w:color="auto" w:fill="FFFFFF"/>
        </w:rPr>
        <w:t xml:space="preserve"> </w:t>
      </w:r>
      <w:r w:rsidRPr="00D56F6F">
        <w:rPr>
          <w:sz w:val="24"/>
        </w:rPr>
        <w:t xml:space="preserve">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 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являющиеся правообладателями объектов (территорий). </w:t>
      </w:r>
    </w:p>
    <w:p w:rsidR="00D56F6F" w:rsidRDefault="00D56F6F" w:rsidP="00D56F6F">
      <w:pPr>
        <w:pStyle w:val="1"/>
        <w:rPr>
          <w:sz w:val="24"/>
        </w:rPr>
      </w:pPr>
    </w:p>
    <w:p w:rsidR="00D56F6F" w:rsidRDefault="00D56F6F" w:rsidP="00D56F6F">
      <w:pPr>
        <w:pStyle w:val="1"/>
        <w:rPr>
          <w:sz w:val="24"/>
        </w:rPr>
      </w:pPr>
    </w:p>
    <w:p w:rsidR="00D56F6F" w:rsidRDefault="00D56F6F" w:rsidP="00D56F6F">
      <w:pPr>
        <w:pStyle w:val="1"/>
        <w:rPr>
          <w:sz w:val="24"/>
        </w:rPr>
      </w:pPr>
    </w:p>
    <w:p w:rsidR="00D56F6F" w:rsidRDefault="00D56F6F" w:rsidP="00D56F6F">
      <w:pPr>
        <w:pStyle w:val="1"/>
        <w:rPr>
          <w:sz w:val="24"/>
        </w:rPr>
      </w:pPr>
    </w:p>
    <w:p w:rsidR="00D56F6F" w:rsidRDefault="00D56F6F" w:rsidP="00D56F6F">
      <w:pPr>
        <w:pStyle w:val="1"/>
        <w:rPr>
          <w:sz w:val="24"/>
        </w:rPr>
      </w:pPr>
    </w:p>
    <w:p w:rsidR="00D56F6F" w:rsidRDefault="00D56F6F" w:rsidP="00D56F6F">
      <w:pPr>
        <w:pStyle w:val="1"/>
        <w:rPr>
          <w:sz w:val="24"/>
        </w:rPr>
      </w:pPr>
    </w:p>
    <w:p w:rsidR="00D56F6F" w:rsidRPr="00D56F6F" w:rsidRDefault="00D56F6F" w:rsidP="00D56F6F">
      <w:pPr>
        <w:pStyle w:val="1"/>
        <w:rPr>
          <w:sz w:val="24"/>
        </w:rPr>
      </w:pPr>
    </w:p>
    <w:p w:rsidR="00D56F6F" w:rsidRPr="00D56F6F" w:rsidRDefault="00D56F6F" w:rsidP="00D56F6F">
      <w:pPr>
        <w:pStyle w:val="1"/>
        <w:rPr>
          <w:sz w:val="24"/>
        </w:rPr>
      </w:pPr>
      <w:r w:rsidRPr="00D56F6F">
        <w:rPr>
          <w:sz w:val="24"/>
        </w:rPr>
        <w:t>Предметом деятельности МКУ МЦПРО Бессоновского района, согласно Уставу, является организация и ведение методической поддержки развития системы образования, хозяйственное обеспечение образовательных учреждений. Кроме того, в помещении площадью 47,7 кв. м., не предусмотрено массовое пребывание людей, предусмотренное Федеральным законом от 6 марта 2006 г. N 35-ФЗ "О противодействии терроризму". </w:t>
      </w:r>
    </w:p>
    <w:p w:rsidR="00D56F6F" w:rsidRPr="00D56F6F" w:rsidRDefault="00D56F6F" w:rsidP="00D56F6F">
      <w:pPr>
        <w:pStyle w:val="1"/>
        <w:rPr>
          <w:sz w:val="24"/>
        </w:rPr>
      </w:pPr>
      <w:r w:rsidRPr="00D56F6F">
        <w:rPr>
          <w:sz w:val="24"/>
        </w:rPr>
        <w:t>Таким образом, Контрольно-счетная комиссия считает неправомерным осуществление учреждением антитеррористической деятельности и установление доплат за нее.</w:t>
      </w:r>
    </w:p>
    <w:p w:rsidR="00D56F6F" w:rsidRPr="00D56F6F" w:rsidRDefault="00D56F6F" w:rsidP="00D56F6F">
      <w:pPr>
        <w:pStyle w:val="1"/>
        <w:rPr>
          <w:sz w:val="24"/>
        </w:rPr>
      </w:pPr>
      <w:r w:rsidRPr="00D56F6F">
        <w:rPr>
          <w:sz w:val="24"/>
        </w:rPr>
        <w:t>За проверяемый период 2024 года выплаты за осуществление работы по антитеррористической безопасности уборщику служебных помещений составили 51018,2 руб., и были выплачены в рамках минимального размера оплаты труда. За пределами размера МРОТ данные выплаты составили 5559 руб.</w:t>
      </w:r>
    </w:p>
    <w:p w:rsidR="00D56F6F" w:rsidRPr="00D56F6F" w:rsidRDefault="00D56F6F" w:rsidP="00D56F6F">
      <w:pPr>
        <w:pStyle w:val="1"/>
        <w:rPr>
          <w:sz w:val="24"/>
        </w:rPr>
      </w:pPr>
      <w:r w:rsidRPr="00D56F6F">
        <w:rPr>
          <w:sz w:val="24"/>
        </w:rPr>
        <w:t>9. В отсутствии в штатном расписании должности контрактного управляющего неправомерно установлено основание для дополнительной выплаты - за выполнение обязанностей контрактного управляющего главному бухгалтеру (п. 4. Положения).</w:t>
      </w:r>
    </w:p>
    <w:p w:rsidR="00D56F6F" w:rsidRPr="00D56F6F" w:rsidRDefault="00D56F6F" w:rsidP="00D56F6F">
      <w:pPr>
        <w:pStyle w:val="1"/>
        <w:rPr>
          <w:sz w:val="24"/>
        </w:rPr>
      </w:pPr>
      <w:r w:rsidRPr="00D56F6F">
        <w:rPr>
          <w:sz w:val="24"/>
        </w:rPr>
        <w:t>В 2024 году фактических выплат за выполнение обязанности контрактного управляющего не производилось.</w:t>
      </w:r>
    </w:p>
    <w:p w:rsidR="00D56F6F" w:rsidRPr="00D56F6F" w:rsidRDefault="00D56F6F" w:rsidP="00D56F6F">
      <w:pPr>
        <w:pStyle w:val="1"/>
        <w:rPr>
          <w:sz w:val="24"/>
        </w:rPr>
      </w:pPr>
      <w:r w:rsidRPr="00D56F6F">
        <w:rPr>
          <w:sz w:val="24"/>
        </w:rPr>
        <w:t>10. Пунктами 3.3., 3.5. и 3.4. Положения о дополнительных выплатах работникам МКУ МЦПРО установлены основания для дополнительных выплат к окладу водителя в виде выплат за выслугу лет, за классность, за безаварийность на дороге, которые по сути своей являются стимулирующими и должны быть установлены Положением о стимулирующих выплатах.</w:t>
      </w:r>
    </w:p>
    <w:p w:rsidR="00D56F6F" w:rsidRPr="00D56F6F" w:rsidRDefault="00D56F6F" w:rsidP="00D56F6F">
      <w:pPr>
        <w:pStyle w:val="1"/>
        <w:rPr>
          <w:sz w:val="24"/>
        </w:rPr>
      </w:pPr>
      <w:r w:rsidRPr="00D56F6F">
        <w:rPr>
          <w:sz w:val="24"/>
        </w:rPr>
        <w:t>В 2024 году фактических выплат за выслугу лет, за классность, за безаварийную езду водителю не производилось.</w:t>
      </w:r>
    </w:p>
    <w:p w:rsidR="00D56F6F" w:rsidRPr="00D56F6F" w:rsidRDefault="00D56F6F" w:rsidP="00D56F6F">
      <w:pPr>
        <w:pStyle w:val="1"/>
        <w:rPr>
          <w:sz w:val="24"/>
        </w:rPr>
      </w:pPr>
      <w:r w:rsidRPr="00D56F6F">
        <w:rPr>
          <w:sz w:val="24"/>
        </w:rPr>
        <w:t>11. Виды дополнительных выплат водителю в соответствии с п. 3, п. 3.1. Положения о дополнительных выплатах (за выезды во время проведения рейдов, ГИА, летней оздоровительной кампании, проверок образовательных организаций, за выезды в образовательные учреждения на мероприятия в вечернее время) при установленном режиме ненормированного рабочего дня установлены неправомерно.</w:t>
      </w:r>
    </w:p>
    <w:p w:rsidR="00D56F6F" w:rsidRPr="00D56F6F" w:rsidRDefault="00D56F6F" w:rsidP="00D56F6F">
      <w:pPr>
        <w:pStyle w:val="1"/>
        <w:rPr>
          <w:sz w:val="24"/>
        </w:rPr>
      </w:pPr>
      <w:r w:rsidRPr="00D56F6F">
        <w:rPr>
          <w:sz w:val="24"/>
        </w:rPr>
        <w:t>В 2024 году доплат за выезды водителя за пределами рабочего времени не производилось.</w:t>
      </w:r>
    </w:p>
    <w:p w:rsidR="00D56F6F" w:rsidRPr="00D56F6F" w:rsidRDefault="00D56F6F" w:rsidP="00D56F6F">
      <w:pPr>
        <w:pStyle w:val="1"/>
        <w:rPr>
          <w:sz w:val="24"/>
        </w:rPr>
      </w:pPr>
      <w:r w:rsidRPr="00D56F6F">
        <w:rPr>
          <w:sz w:val="24"/>
        </w:rPr>
        <w:t>12. В соответствии со ст. 133 Трудового кодекса РФ месячная заработная плата работника, полностью отработавшего за период норму рабочего времени и выполнившего </w:t>
      </w:r>
      <w:hyperlink r:id="rId5" w:anchor="/document/57514433/entry/0" w:history="1">
        <w:r w:rsidRPr="00D56F6F">
          <w:rPr>
            <w:sz w:val="24"/>
          </w:rPr>
          <w:t>нормы</w:t>
        </w:r>
      </w:hyperlink>
      <w:r w:rsidRPr="00D56F6F">
        <w:rPr>
          <w:sz w:val="24"/>
        </w:rPr>
        <w:t> труда (трудовые обязанности), не может быть ниже минимального размера оплаты труда. Увеличение объема работ относится к случаям, когда сотрудник выполняет работу в условиях, отклоняющихся от нормальных, и получает за это доплату (ст. 149 ТК РФ). Таким образом, доплата за увеличение объема работ должна начисляться после доведения месячной зарплаты до МРОТ.</w:t>
      </w:r>
    </w:p>
    <w:p w:rsidR="00D56F6F" w:rsidRPr="00D56F6F" w:rsidRDefault="00D56F6F" w:rsidP="00D56F6F">
      <w:pPr>
        <w:pStyle w:val="1"/>
        <w:rPr>
          <w:sz w:val="24"/>
        </w:rPr>
      </w:pPr>
      <w:r w:rsidRPr="00D56F6F">
        <w:rPr>
          <w:sz w:val="24"/>
        </w:rPr>
        <w:t xml:space="preserve">В нарушение норм трудового законодательства МКУ МЦПРО производило доведение месячной заработной платы до минимального размера оплаты труда с учетом начисленных выплат за дополнительный объем работ. </w:t>
      </w:r>
    </w:p>
    <w:p w:rsidR="00D56F6F" w:rsidRPr="00D56F6F" w:rsidRDefault="00D56F6F" w:rsidP="00D56F6F">
      <w:pPr>
        <w:pStyle w:val="1"/>
        <w:rPr>
          <w:sz w:val="24"/>
        </w:rPr>
      </w:pPr>
      <w:r w:rsidRPr="00D56F6F">
        <w:rPr>
          <w:sz w:val="24"/>
        </w:rPr>
        <w:t>13. В нарушение ч. 5 ст. 16 Федерального закона № 44-ФЗ план-график Заказчика сформирован только на один финансовый год – 2024 год при утвержденном бюджете Бессоновского района на 2024 год и плановый период 2025 и 2026 годов.</w:t>
      </w:r>
    </w:p>
    <w:p w:rsidR="00D56F6F" w:rsidRDefault="00D56F6F" w:rsidP="00D56F6F">
      <w:pPr>
        <w:pStyle w:val="1"/>
        <w:rPr>
          <w:sz w:val="24"/>
        </w:rPr>
      </w:pPr>
      <w:r w:rsidRPr="00D56F6F">
        <w:rPr>
          <w:sz w:val="24"/>
        </w:rPr>
        <w:t xml:space="preserve">14. В нарушение п.2 ч. 8 ст. 16 Федерального закона № 44-ФЗ изменения в план-график на 2024 год не вносились и не утверждались. </w:t>
      </w:r>
    </w:p>
    <w:p w:rsidR="00D56F6F" w:rsidRDefault="00D56F6F" w:rsidP="00D56F6F">
      <w:pPr>
        <w:pStyle w:val="1"/>
        <w:rPr>
          <w:sz w:val="24"/>
        </w:rPr>
      </w:pPr>
    </w:p>
    <w:p w:rsidR="00D56F6F" w:rsidRDefault="00D56F6F" w:rsidP="00D56F6F">
      <w:pPr>
        <w:pStyle w:val="1"/>
        <w:rPr>
          <w:sz w:val="24"/>
        </w:rPr>
      </w:pPr>
    </w:p>
    <w:p w:rsidR="00D56F6F" w:rsidRDefault="00D56F6F" w:rsidP="00D56F6F">
      <w:pPr>
        <w:pStyle w:val="1"/>
        <w:rPr>
          <w:sz w:val="24"/>
        </w:rPr>
      </w:pPr>
    </w:p>
    <w:p w:rsidR="00D56F6F" w:rsidRDefault="00D56F6F" w:rsidP="00D56F6F">
      <w:pPr>
        <w:pStyle w:val="1"/>
        <w:rPr>
          <w:sz w:val="24"/>
        </w:rPr>
      </w:pPr>
    </w:p>
    <w:p w:rsidR="00D56F6F" w:rsidRDefault="00D56F6F" w:rsidP="00D56F6F">
      <w:pPr>
        <w:pStyle w:val="1"/>
        <w:rPr>
          <w:sz w:val="24"/>
        </w:rPr>
      </w:pPr>
    </w:p>
    <w:p w:rsidR="00D56F6F" w:rsidRPr="00D56F6F" w:rsidRDefault="00D56F6F" w:rsidP="00D56F6F">
      <w:pPr>
        <w:pStyle w:val="1"/>
        <w:rPr>
          <w:sz w:val="24"/>
        </w:rPr>
      </w:pPr>
    </w:p>
    <w:p w:rsidR="00D56F6F" w:rsidRPr="00D56F6F" w:rsidRDefault="00D56F6F" w:rsidP="00D56F6F">
      <w:pPr>
        <w:pStyle w:val="1"/>
        <w:rPr>
          <w:sz w:val="24"/>
        </w:rPr>
      </w:pPr>
      <w:r w:rsidRPr="00D56F6F">
        <w:rPr>
          <w:sz w:val="24"/>
        </w:rPr>
        <w:t>15. В нарушение ч. 1 ст. 16 Федерального закона № 44-ФЗ МКУ МЦПРО в 2024 году произвело закупки на сумму 4999,04 руб. по целевой статье 1010405230 вне плана-графика.</w:t>
      </w:r>
    </w:p>
    <w:p w:rsidR="00D56F6F" w:rsidRPr="00D56F6F" w:rsidRDefault="00D56F6F" w:rsidP="00D56F6F">
      <w:pPr>
        <w:pStyle w:val="1"/>
        <w:rPr>
          <w:sz w:val="24"/>
        </w:rPr>
      </w:pPr>
      <w:r w:rsidRPr="00D56F6F">
        <w:rPr>
          <w:sz w:val="24"/>
        </w:rPr>
        <w:t>16. В ходе выборочной проверки муниципальных контрактов (договоров) установлено, что:</w:t>
      </w:r>
    </w:p>
    <w:p w:rsidR="00D56F6F" w:rsidRPr="00D56F6F" w:rsidRDefault="00D56F6F" w:rsidP="00D56F6F">
      <w:pPr>
        <w:autoSpaceDE w:val="0"/>
        <w:autoSpaceDN w:val="0"/>
        <w:adjustRightInd w:val="0"/>
        <w:ind w:firstLine="709"/>
        <w:jc w:val="both"/>
        <w:rPr>
          <w:rFonts w:ascii="Times New Roman" w:hAnsi="Times New Roman" w:cs="Times New Roman"/>
          <w:sz w:val="24"/>
          <w:szCs w:val="24"/>
        </w:rPr>
      </w:pPr>
      <w:r w:rsidRPr="00D56F6F">
        <w:rPr>
          <w:rFonts w:ascii="Times New Roman" w:hAnsi="Times New Roman" w:cs="Times New Roman"/>
          <w:sz w:val="24"/>
          <w:szCs w:val="24"/>
        </w:rPr>
        <w:t>- в нарушение ч.1 ст.23 Федерального закона № 44-ФЗ во всех заключенных договорах Заказчиком не указан идентификационный код закупки (далее – ИКЗ);</w:t>
      </w:r>
    </w:p>
    <w:p w:rsidR="00D56F6F" w:rsidRPr="00D56F6F" w:rsidRDefault="00D56F6F" w:rsidP="00D56F6F">
      <w:pPr>
        <w:autoSpaceDE w:val="0"/>
        <w:autoSpaceDN w:val="0"/>
        <w:adjustRightInd w:val="0"/>
        <w:ind w:firstLine="709"/>
        <w:jc w:val="both"/>
        <w:rPr>
          <w:rFonts w:ascii="Times New Roman" w:hAnsi="Times New Roman" w:cs="Times New Roman"/>
          <w:sz w:val="24"/>
          <w:szCs w:val="24"/>
        </w:rPr>
      </w:pPr>
      <w:r w:rsidRPr="00D56F6F">
        <w:rPr>
          <w:rFonts w:ascii="Times New Roman" w:hAnsi="Times New Roman" w:cs="Times New Roman"/>
          <w:sz w:val="24"/>
          <w:szCs w:val="24"/>
        </w:rPr>
        <w:t>- в нарушение положений Федерального закона в шести (договора из п. 3-8) из восьми проверенных договорах отсутствует норма о неизменности цены договора;</w:t>
      </w:r>
    </w:p>
    <w:p w:rsidR="00D56F6F" w:rsidRPr="00D56F6F" w:rsidRDefault="00D56F6F" w:rsidP="00D56F6F">
      <w:pPr>
        <w:autoSpaceDE w:val="0"/>
        <w:autoSpaceDN w:val="0"/>
        <w:adjustRightInd w:val="0"/>
        <w:ind w:firstLine="709"/>
        <w:jc w:val="both"/>
        <w:rPr>
          <w:rFonts w:ascii="Times New Roman" w:hAnsi="Times New Roman" w:cs="Times New Roman"/>
          <w:sz w:val="24"/>
          <w:szCs w:val="24"/>
        </w:rPr>
      </w:pPr>
      <w:r w:rsidRPr="00D56F6F">
        <w:rPr>
          <w:rFonts w:ascii="Times New Roman" w:hAnsi="Times New Roman" w:cs="Times New Roman"/>
          <w:sz w:val="24"/>
          <w:szCs w:val="24"/>
        </w:rPr>
        <w:t>- в нарушение ч. 4 ст. 34 Федерального закона № 44-ФЗ в трех из восьми проверенных договорах отсутствуют нормы об ответственности сторон;</w:t>
      </w:r>
    </w:p>
    <w:p w:rsidR="00D56F6F" w:rsidRPr="00D56F6F" w:rsidRDefault="00D56F6F" w:rsidP="00D56F6F">
      <w:pPr>
        <w:autoSpaceDE w:val="0"/>
        <w:autoSpaceDN w:val="0"/>
        <w:adjustRightInd w:val="0"/>
        <w:ind w:firstLine="709"/>
        <w:jc w:val="both"/>
        <w:rPr>
          <w:rFonts w:ascii="Times New Roman" w:hAnsi="Times New Roman" w:cs="Times New Roman"/>
          <w:sz w:val="24"/>
          <w:szCs w:val="24"/>
        </w:rPr>
      </w:pPr>
      <w:r w:rsidRPr="00D56F6F">
        <w:rPr>
          <w:rFonts w:ascii="Times New Roman" w:hAnsi="Times New Roman" w:cs="Times New Roman"/>
          <w:sz w:val="24"/>
          <w:szCs w:val="24"/>
        </w:rPr>
        <w:t>- в нарушение ч. 13.1. ст. 34 Федерального закона № 44-ФЗ сроки оплаты во всех проверенных договорах отличны от сроков, законодательно установленных;</w:t>
      </w:r>
    </w:p>
    <w:p w:rsidR="00D56F6F" w:rsidRPr="00D56F6F" w:rsidRDefault="00D56F6F" w:rsidP="00D56F6F">
      <w:pPr>
        <w:autoSpaceDE w:val="0"/>
        <w:autoSpaceDN w:val="0"/>
        <w:adjustRightInd w:val="0"/>
        <w:ind w:firstLine="709"/>
        <w:jc w:val="both"/>
        <w:rPr>
          <w:rFonts w:ascii="Times New Roman" w:hAnsi="Times New Roman" w:cs="Times New Roman"/>
          <w:sz w:val="24"/>
          <w:szCs w:val="24"/>
        </w:rPr>
      </w:pPr>
      <w:r w:rsidRPr="00D56F6F">
        <w:rPr>
          <w:rFonts w:ascii="Times New Roman" w:hAnsi="Times New Roman" w:cs="Times New Roman"/>
          <w:sz w:val="24"/>
          <w:szCs w:val="24"/>
        </w:rPr>
        <w:t>- установлены случаи нарушения сроков оплаты по двум из восьми договорам (контрактам).</w:t>
      </w:r>
    </w:p>
    <w:p w:rsidR="00D56F6F" w:rsidRDefault="00D56F6F" w:rsidP="00D56F6F">
      <w:pPr>
        <w:jc w:val="both"/>
        <w:rPr>
          <w:rFonts w:ascii="Times New Roman" w:hAnsi="Times New Roman" w:cs="Times New Roman"/>
          <w:sz w:val="24"/>
          <w:szCs w:val="24"/>
        </w:rPr>
      </w:pPr>
    </w:p>
    <w:p w:rsidR="00D56F6F" w:rsidRPr="00D56F6F" w:rsidRDefault="00D56F6F" w:rsidP="00D56F6F">
      <w:pPr>
        <w:shd w:val="clear" w:color="auto" w:fill="FFFFFF"/>
        <w:spacing w:after="0" w:line="240" w:lineRule="auto"/>
        <w:jc w:val="both"/>
        <w:rPr>
          <w:rFonts w:ascii="Times New Roman" w:eastAsia="Times New Roman" w:hAnsi="Times New Roman" w:cs="Times New Roman"/>
          <w:sz w:val="24"/>
          <w:szCs w:val="24"/>
          <w:lang w:eastAsia="ru-RU"/>
        </w:rPr>
      </w:pPr>
      <w:r w:rsidRPr="00D56F6F">
        <w:rPr>
          <w:rFonts w:ascii="Times New Roman" w:eastAsia="Times New Roman" w:hAnsi="Times New Roman" w:cs="Times New Roman"/>
          <w:sz w:val="24"/>
          <w:szCs w:val="24"/>
          <w:lang w:eastAsia="ru-RU"/>
        </w:rPr>
        <w:t>Принятые меры: отчет о результатах контрольного мероприятия направлен Главе Бессоновского района, в Собрание представителей Бессоновского района, представление об устранении нарушений – объекту проверки.</w:t>
      </w:r>
    </w:p>
    <w:p w:rsidR="00D56F6F" w:rsidRPr="00D56F6F" w:rsidRDefault="00D56F6F" w:rsidP="00D56F6F">
      <w:pPr>
        <w:jc w:val="both"/>
        <w:rPr>
          <w:rFonts w:ascii="Times New Roman" w:hAnsi="Times New Roman" w:cs="Times New Roman"/>
          <w:sz w:val="24"/>
          <w:szCs w:val="24"/>
        </w:rPr>
      </w:pPr>
      <w:bookmarkStart w:id="0" w:name="_GoBack"/>
      <w:bookmarkEnd w:id="0"/>
    </w:p>
    <w:sectPr w:rsidR="00D56F6F" w:rsidRPr="00D56F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F6F"/>
    <w:rsid w:val="0048256A"/>
    <w:rsid w:val="00562474"/>
    <w:rsid w:val="00D56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06256"/>
  <w15:chartTrackingRefBased/>
  <w15:docId w15:val="{2D1310C9-7520-43EC-92A7-5C1E92DA1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qFormat/>
    <w:rsid w:val="00D56F6F"/>
    <w:pPr>
      <w:spacing w:after="0" w:line="240" w:lineRule="auto"/>
      <w:ind w:firstLine="709"/>
      <w:jc w:val="both"/>
    </w:pPr>
    <w:rPr>
      <w:rFonts w:ascii="Times New Roman" w:eastAsia="Times New Roman" w:hAnsi="Times New Roman" w:cs="Times New Roman"/>
      <w:bCs/>
      <w:sz w:val="28"/>
      <w:szCs w:val="24"/>
      <w:lang w:eastAsia="ru-RU"/>
    </w:rPr>
  </w:style>
  <w:style w:type="character" w:customStyle="1" w:styleId="10">
    <w:name w:val="Стиль1 Знак"/>
    <w:link w:val="1"/>
    <w:rsid w:val="00D56F6F"/>
    <w:rPr>
      <w:rFonts w:ascii="Times New Roman" w:eastAsia="Times New Roman" w:hAnsi="Times New Roman" w:cs="Times New Roman"/>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03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nternet.garant.ru/" TargetMode="External"/><Relationship Id="rId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1581</Words>
  <Characters>9013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2025-08-04T10:36:00Z</dcterms:created>
  <dcterms:modified xsi:type="dcterms:W3CDTF">2025-08-04T10:44:00Z</dcterms:modified>
</cp:coreProperties>
</file>