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-464820</wp:posOffset>
            </wp:positionV>
            <wp:extent cx="720090" cy="864235"/>
            <wp:effectExtent l="1905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-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7005" w:rsidRPr="00CF5AA7" w:rsidRDefault="00747005" w:rsidP="00747005">
      <w:pPr>
        <w:autoSpaceDE w:val="0"/>
        <w:autoSpaceDN w:val="0"/>
        <w:adjustRightInd w:val="0"/>
        <w:ind w:firstLine="720"/>
        <w:jc w:val="both"/>
      </w:pPr>
    </w:p>
    <w:tbl>
      <w:tblPr>
        <w:tblpPr w:leftFromText="180" w:rightFromText="180" w:vertAnchor="page" w:horzAnchor="margin" w:tblpY="2341"/>
        <w:tblW w:w="9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6"/>
      </w:tblGrid>
      <w:tr w:rsidR="00747005" w:rsidRPr="00CF5AA7" w:rsidTr="007A60D8">
        <w:trPr>
          <w:trHeight w:val="192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28"/>
              </w:rPr>
            </w:pPr>
          </w:p>
        </w:tc>
      </w:tr>
      <w:tr w:rsidR="00747005" w:rsidRPr="00CF5AA7" w:rsidTr="007A60D8">
        <w:trPr>
          <w:trHeight w:val="224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36"/>
                <w:szCs w:val="36"/>
              </w:rPr>
            </w:pPr>
            <w:r w:rsidRPr="00CF5AA7">
              <w:rPr>
                <w:b/>
                <w:sz w:val="36"/>
                <w:szCs w:val="36"/>
              </w:rPr>
              <w:t>АДМИНИСТРАЦИЯ БЕССОНОВСКОГО РАЙОНА</w:t>
            </w:r>
          </w:p>
        </w:tc>
      </w:tr>
      <w:tr w:rsidR="00747005" w:rsidRPr="00CF5AA7" w:rsidTr="007A60D8">
        <w:trPr>
          <w:trHeight w:val="212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36"/>
                <w:szCs w:val="36"/>
              </w:rPr>
            </w:pPr>
            <w:r w:rsidRPr="00CF5AA7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747005" w:rsidRPr="00CF5AA7" w:rsidTr="007A60D8">
        <w:trPr>
          <w:trHeight w:val="248"/>
        </w:trPr>
        <w:tc>
          <w:tcPr>
            <w:tcW w:w="9576" w:type="dxa"/>
          </w:tcPr>
          <w:p w:rsidR="00747005" w:rsidRPr="00CF5AA7" w:rsidRDefault="00747005" w:rsidP="007A60D8">
            <w:pPr>
              <w:pStyle w:val="3"/>
            </w:pPr>
          </w:p>
        </w:tc>
      </w:tr>
      <w:tr w:rsidR="00747005" w:rsidRPr="00CF5AA7" w:rsidTr="007A60D8">
        <w:trPr>
          <w:trHeight w:val="181"/>
        </w:trPr>
        <w:tc>
          <w:tcPr>
            <w:tcW w:w="9576" w:type="dxa"/>
            <w:vAlign w:val="center"/>
          </w:tcPr>
          <w:p w:rsidR="00747005" w:rsidRPr="00CF5AA7" w:rsidRDefault="00747005" w:rsidP="007A60D8">
            <w:pPr>
              <w:pStyle w:val="3"/>
              <w:rPr>
                <w:sz w:val="32"/>
                <w:szCs w:val="32"/>
              </w:rPr>
            </w:pPr>
            <w:r w:rsidRPr="00CF5AA7">
              <w:rPr>
                <w:sz w:val="32"/>
                <w:szCs w:val="32"/>
              </w:rPr>
              <w:t>ПОСТАНОВЛЕНИЕ</w:t>
            </w:r>
          </w:p>
        </w:tc>
      </w:tr>
      <w:tr w:rsidR="00747005" w:rsidRPr="00CF5AA7" w:rsidTr="007A60D8">
        <w:trPr>
          <w:trHeight w:val="181"/>
        </w:trPr>
        <w:tc>
          <w:tcPr>
            <w:tcW w:w="9576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826"/>
              <w:gridCol w:w="396"/>
              <w:gridCol w:w="1131"/>
            </w:tblGrid>
            <w:tr w:rsidR="00747005" w:rsidRPr="00CF5AA7" w:rsidTr="007A60D8">
              <w:trPr>
                <w:trHeight w:val="152"/>
              </w:trPr>
              <w:tc>
                <w:tcPr>
                  <w:tcW w:w="283" w:type="dxa"/>
                  <w:vAlign w:val="bottom"/>
                </w:tcPr>
                <w:p w:rsidR="00747005" w:rsidRPr="00CF5AA7" w:rsidRDefault="00747005" w:rsidP="007A60D8">
                  <w:r w:rsidRPr="00CF5AA7">
                    <w:t>от</w:t>
                  </w:r>
                </w:p>
              </w:tc>
              <w:tc>
                <w:tcPr>
                  <w:tcW w:w="282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47005" w:rsidRPr="00CF5AA7" w:rsidRDefault="00747005" w:rsidP="007A60D8">
                  <w:pPr>
                    <w:jc w:val="center"/>
                  </w:pPr>
                </w:p>
              </w:tc>
              <w:tc>
                <w:tcPr>
                  <w:tcW w:w="396" w:type="dxa"/>
                  <w:vAlign w:val="bottom"/>
                </w:tcPr>
                <w:p w:rsidR="00747005" w:rsidRPr="00CF5AA7" w:rsidRDefault="00747005" w:rsidP="007A60D8">
                  <w:pPr>
                    <w:jc w:val="center"/>
                  </w:pPr>
                  <w:r w:rsidRPr="00CF5AA7">
                    <w:t>№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47005" w:rsidRPr="00CF5AA7" w:rsidRDefault="00747005" w:rsidP="000677FC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  <w:tr w:rsidR="00747005" w:rsidRPr="00CF5AA7" w:rsidTr="007A60D8">
              <w:trPr>
                <w:trHeight w:val="208"/>
              </w:trPr>
              <w:tc>
                <w:tcPr>
                  <w:tcW w:w="4636" w:type="dxa"/>
                  <w:gridSpan w:val="4"/>
                </w:tcPr>
                <w:p w:rsidR="00747005" w:rsidRPr="00CF5AA7" w:rsidRDefault="00747005" w:rsidP="007A60D8">
                  <w:pPr>
                    <w:jc w:val="center"/>
                    <w:rPr>
                      <w:sz w:val="10"/>
                    </w:rPr>
                  </w:pPr>
                </w:p>
                <w:p w:rsidR="00747005" w:rsidRPr="00CF5AA7" w:rsidRDefault="00747005" w:rsidP="007A60D8">
                  <w:pPr>
                    <w:jc w:val="center"/>
                  </w:pPr>
                  <w:proofErr w:type="gramStart"/>
                  <w:r w:rsidRPr="00CF5AA7">
                    <w:t>с</w:t>
                  </w:r>
                  <w:proofErr w:type="gramEnd"/>
                  <w:r w:rsidRPr="00CF5AA7">
                    <w:t>. Бессоновка</w:t>
                  </w:r>
                </w:p>
              </w:tc>
            </w:tr>
          </w:tbl>
          <w:p w:rsidR="00747005" w:rsidRPr="00CF5AA7" w:rsidRDefault="00747005" w:rsidP="007A60D8">
            <w:pPr>
              <w:pStyle w:val="3"/>
              <w:rPr>
                <w:sz w:val="28"/>
                <w:szCs w:val="28"/>
              </w:rPr>
            </w:pPr>
          </w:p>
          <w:p w:rsidR="00747005" w:rsidRPr="00CF5AA7" w:rsidRDefault="00747005" w:rsidP="007A60D8"/>
          <w:p w:rsidR="00747005" w:rsidRPr="00CF5AA7" w:rsidRDefault="00747005" w:rsidP="007A60D8"/>
        </w:tc>
      </w:tr>
    </w:tbl>
    <w:p w:rsidR="00747005" w:rsidRDefault="006907A0" w:rsidP="006907A0">
      <w:pPr>
        <w:jc w:val="center"/>
        <w:rPr>
          <w:b/>
          <w:sz w:val="28"/>
          <w:szCs w:val="28"/>
        </w:rPr>
      </w:pPr>
      <w:r w:rsidRPr="00CB0080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 </w:t>
      </w:r>
      <w:r w:rsidRPr="00D85CD0">
        <w:rPr>
          <w:b/>
          <w:sz w:val="28"/>
          <w:szCs w:val="28"/>
        </w:rPr>
        <w:t>Правила землепользо</w:t>
      </w:r>
      <w:r>
        <w:rPr>
          <w:b/>
          <w:sz w:val="28"/>
          <w:szCs w:val="28"/>
        </w:rPr>
        <w:t xml:space="preserve">вания и застройки </w:t>
      </w:r>
      <w:proofErr w:type="spellStart"/>
      <w:r w:rsidR="00B503E5">
        <w:rPr>
          <w:b/>
          <w:sz w:val="28"/>
          <w:szCs w:val="28"/>
        </w:rPr>
        <w:t>Полеологовского</w:t>
      </w:r>
      <w:proofErr w:type="spellEnd"/>
      <w:r w:rsidRPr="00D85CD0">
        <w:rPr>
          <w:b/>
          <w:sz w:val="28"/>
          <w:szCs w:val="28"/>
        </w:rPr>
        <w:t xml:space="preserve"> сельсовета Бессоновского района Пензенской области, утвержденные решением Собрания представителей Бессоновского района Пензенской области тр</w:t>
      </w:r>
      <w:r>
        <w:rPr>
          <w:b/>
          <w:sz w:val="28"/>
          <w:szCs w:val="28"/>
        </w:rPr>
        <w:t>етьего созыва от 28.12.2015 №46</w:t>
      </w:r>
      <w:r w:rsidR="00B503E5">
        <w:rPr>
          <w:b/>
          <w:sz w:val="28"/>
          <w:szCs w:val="28"/>
        </w:rPr>
        <w:t>7</w:t>
      </w:r>
      <w:r w:rsidRPr="00D85CD0">
        <w:rPr>
          <w:b/>
          <w:sz w:val="28"/>
          <w:szCs w:val="28"/>
        </w:rPr>
        <w:t>-61/3</w:t>
      </w:r>
    </w:p>
    <w:p w:rsidR="006907A0" w:rsidRDefault="006907A0" w:rsidP="006907A0">
      <w:pPr>
        <w:jc w:val="center"/>
      </w:pPr>
    </w:p>
    <w:p w:rsidR="00747005" w:rsidRPr="006907A0" w:rsidRDefault="006907A0" w:rsidP="006907A0">
      <w:pPr>
        <w:jc w:val="both"/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На основании заявления от </w:t>
      </w:r>
      <w:r w:rsidR="00B503E5">
        <w:rPr>
          <w:sz w:val="28"/>
          <w:szCs w:val="28"/>
        </w:rPr>
        <w:t xml:space="preserve">главы администрации </w:t>
      </w:r>
      <w:proofErr w:type="spellStart"/>
      <w:r w:rsidR="00B503E5">
        <w:rPr>
          <w:sz w:val="28"/>
          <w:szCs w:val="28"/>
        </w:rPr>
        <w:t>Полеологовского</w:t>
      </w:r>
      <w:proofErr w:type="spellEnd"/>
      <w:r w:rsidR="00B503E5">
        <w:rPr>
          <w:sz w:val="28"/>
          <w:szCs w:val="28"/>
        </w:rPr>
        <w:t xml:space="preserve"> сельсовета Бессоновского район Пензенской области</w:t>
      </w:r>
      <w:r>
        <w:rPr>
          <w:sz w:val="28"/>
          <w:szCs w:val="28"/>
        </w:rPr>
        <w:t xml:space="preserve"> №</w:t>
      </w:r>
      <w:r w:rsidR="00B503E5">
        <w:rPr>
          <w:sz w:val="28"/>
          <w:szCs w:val="28"/>
        </w:rPr>
        <w:t>372</w:t>
      </w:r>
      <w:r>
        <w:rPr>
          <w:sz w:val="28"/>
          <w:szCs w:val="28"/>
        </w:rPr>
        <w:t xml:space="preserve"> от </w:t>
      </w:r>
      <w:r w:rsidR="00B503E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B36883">
        <w:rPr>
          <w:sz w:val="28"/>
          <w:szCs w:val="28"/>
        </w:rPr>
        <w:t>1</w:t>
      </w:r>
      <w:r w:rsidR="00B503E5">
        <w:rPr>
          <w:sz w:val="28"/>
          <w:szCs w:val="28"/>
        </w:rPr>
        <w:t>0</w:t>
      </w:r>
      <w:r>
        <w:rPr>
          <w:sz w:val="28"/>
          <w:szCs w:val="28"/>
        </w:rPr>
        <w:t>.2021, постановления администрации Бессоновского района Пензенской области №</w:t>
      </w:r>
      <w:r w:rsidR="00B36883">
        <w:rPr>
          <w:sz w:val="28"/>
          <w:szCs w:val="28"/>
        </w:rPr>
        <w:t>11</w:t>
      </w:r>
      <w:r w:rsidR="00B503E5">
        <w:rPr>
          <w:sz w:val="28"/>
          <w:szCs w:val="28"/>
        </w:rPr>
        <w:t>72</w:t>
      </w:r>
      <w:r>
        <w:rPr>
          <w:sz w:val="28"/>
          <w:szCs w:val="28"/>
        </w:rPr>
        <w:t xml:space="preserve"> от </w:t>
      </w:r>
      <w:r w:rsidR="00B36883">
        <w:rPr>
          <w:sz w:val="28"/>
          <w:szCs w:val="28"/>
        </w:rPr>
        <w:t>1</w:t>
      </w:r>
      <w:r w:rsidR="00B503E5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B36883">
        <w:rPr>
          <w:sz w:val="28"/>
          <w:szCs w:val="28"/>
        </w:rPr>
        <w:t>2</w:t>
      </w:r>
      <w:r>
        <w:rPr>
          <w:sz w:val="28"/>
          <w:szCs w:val="28"/>
        </w:rPr>
        <w:t xml:space="preserve">.2021 </w:t>
      </w:r>
      <w:r w:rsidRPr="006907A0">
        <w:rPr>
          <w:sz w:val="28"/>
          <w:szCs w:val="28"/>
        </w:rPr>
        <w:t xml:space="preserve">«О подготовке проекта внесения изменений в Правила землепользования и застройки </w:t>
      </w:r>
      <w:proofErr w:type="spellStart"/>
      <w:r w:rsidR="00B503E5">
        <w:rPr>
          <w:sz w:val="28"/>
          <w:szCs w:val="28"/>
        </w:rPr>
        <w:t>Полеологовского</w:t>
      </w:r>
      <w:proofErr w:type="spellEnd"/>
      <w:r w:rsidRPr="006907A0">
        <w:rPr>
          <w:sz w:val="28"/>
          <w:szCs w:val="28"/>
        </w:rPr>
        <w:t xml:space="preserve"> сельсовета Бессоновского района Пензенской области, утвержденные решением Собрания представителей Бессоновского района Пензенской области третьего созыва от 28.12.2015 №46</w:t>
      </w:r>
      <w:r w:rsidR="00B503E5">
        <w:rPr>
          <w:sz w:val="28"/>
          <w:szCs w:val="28"/>
        </w:rPr>
        <w:t>7</w:t>
      </w:r>
      <w:r w:rsidRPr="006907A0">
        <w:rPr>
          <w:sz w:val="28"/>
          <w:szCs w:val="28"/>
        </w:rPr>
        <w:t xml:space="preserve">-61/3», </w:t>
      </w:r>
      <w:r>
        <w:rPr>
          <w:sz w:val="28"/>
          <w:szCs w:val="28"/>
        </w:rPr>
        <w:t xml:space="preserve">протокола </w:t>
      </w:r>
      <w:r w:rsidR="00B503E5">
        <w:rPr>
          <w:sz w:val="28"/>
          <w:szCs w:val="28"/>
        </w:rPr>
        <w:t xml:space="preserve">и заключения </w:t>
      </w:r>
      <w:r>
        <w:rPr>
          <w:sz w:val="28"/>
          <w:szCs w:val="28"/>
        </w:rPr>
        <w:t>проведения публичных слушаний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B503E5">
        <w:rPr>
          <w:sz w:val="28"/>
          <w:szCs w:val="28"/>
        </w:rPr>
        <w:t>П</w:t>
      </w:r>
      <w:proofErr w:type="gramEnd"/>
      <w:r w:rsidR="00B503E5">
        <w:rPr>
          <w:sz w:val="28"/>
          <w:szCs w:val="28"/>
        </w:rPr>
        <w:t>олеологово</w:t>
      </w:r>
      <w:proofErr w:type="spellEnd"/>
      <w:r>
        <w:rPr>
          <w:sz w:val="28"/>
          <w:szCs w:val="28"/>
        </w:rPr>
        <w:t xml:space="preserve"> от </w:t>
      </w:r>
      <w:r w:rsidR="00B36883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B36883">
        <w:rPr>
          <w:sz w:val="28"/>
          <w:szCs w:val="28"/>
        </w:rPr>
        <w:t>0</w:t>
      </w:r>
      <w:r>
        <w:rPr>
          <w:sz w:val="28"/>
          <w:szCs w:val="28"/>
        </w:rPr>
        <w:t>1.202</w:t>
      </w:r>
      <w:r w:rsidR="00B36883">
        <w:rPr>
          <w:sz w:val="28"/>
          <w:szCs w:val="28"/>
        </w:rPr>
        <w:t>2</w:t>
      </w:r>
      <w:r>
        <w:rPr>
          <w:sz w:val="28"/>
          <w:szCs w:val="28"/>
        </w:rPr>
        <w:t>, в</w:t>
      </w:r>
      <w:r w:rsidRPr="00CB0080">
        <w:rPr>
          <w:sz w:val="28"/>
          <w:szCs w:val="28"/>
        </w:rPr>
        <w:t xml:space="preserve"> соответствии с Федеральным з</w:t>
      </w:r>
      <w:r>
        <w:rPr>
          <w:sz w:val="28"/>
          <w:szCs w:val="28"/>
        </w:rPr>
        <w:t>аконом от 06.10.2003 №131-</w:t>
      </w:r>
      <w:r w:rsidRPr="00CB0080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администрация Бессоновского района Пензенской области </w:t>
      </w:r>
      <w:r w:rsidRPr="006907A0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747005" w:rsidRDefault="00747005" w:rsidP="00747005">
      <w:pPr>
        <w:jc w:val="both"/>
        <w:rPr>
          <w:sz w:val="28"/>
          <w:szCs w:val="28"/>
        </w:rPr>
      </w:pPr>
    </w:p>
    <w:p w:rsidR="00AA2099" w:rsidRDefault="00C61365" w:rsidP="00AA20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AA2099">
        <w:rPr>
          <w:sz w:val="28"/>
          <w:szCs w:val="28"/>
        </w:rPr>
        <w:t xml:space="preserve"> 1. </w:t>
      </w:r>
      <w:r w:rsidR="006907A0" w:rsidRPr="00CB0080">
        <w:rPr>
          <w:color w:val="000000"/>
          <w:sz w:val="28"/>
          <w:szCs w:val="28"/>
          <w:lang w:val="x-none" w:eastAsia="x-none"/>
        </w:rPr>
        <w:t xml:space="preserve">Внести изменения </w:t>
      </w:r>
      <w:r w:rsidR="006907A0" w:rsidRPr="00D85CD0">
        <w:rPr>
          <w:sz w:val="28"/>
          <w:szCs w:val="28"/>
        </w:rPr>
        <w:t>в Правила землепользо</w:t>
      </w:r>
      <w:r w:rsidR="006907A0">
        <w:rPr>
          <w:sz w:val="28"/>
          <w:szCs w:val="28"/>
        </w:rPr>
        <w:t xml:space="preserve">вания и застройки </w:t>
      </w:r>
      <w:proofErr w:type="spellStart"/>
      <w:r w:rsidR="00B503E5">
        <w:rPr>
          <w:sz w:val="28"/>
          <w:szCs w:val="28"/>
        </w:rPr>
        <w:t>Полеологовского</w:t>
      </w:r>
      <w:proofErr w:type="spellEnd"/>
      <w:r w:rsidR="006907A0" w:rsidRPr="00D85CD0">
        <w:rPr>
          <w:sz w:val="28"/>
          <w:szCs w:val="28"/>
        </w:rPr>
        <w:t xml:space="preserve"> сельсовета Бессоновского района Пензенской области, утвержденные решением Собрания представителей Бессоновского района Пензенской области от 28.12.2</w:t>
      </w:r>
      <w:r w:rsidR="006907A0">
        <w:rPr>
          <w:sz w:val="28"/>
          <w:szCs w:val="28"/>
        </w:rPr>
        <w:t>015 №46</w:t>
      </w:r>
      <w:r w:rsidR="00B503E5">
        <w:rPr>
          <w:sz w:val="28"/>
          <w:szCs w:val="28"/>
        </w:rPr>
        <w:t>7</w:t>
      </w:r>
      <w:r w:rsidR="006907A0" w:rsidRPr="00D85CD0">
        <w:rPr>
          <w:sz w:val="28"/>
          <w:szCs w:val="28"/>
        </w:rPr>
        <w:t>-61/3, в  градостроительный регламент, установленный для конкретной территориальной зоны</w:t>
      </w:r>
      <w:r w:rsidR="006907A0">
        <w:rPr>
          <w:sz w:val="28"/>
          <w:szCs w:val="28"/>
        </w:rPr>
        <w:t xml:space="preserve">, </w:t>
      </w:r>
      <w:r w:rsidR="006907A0" w:rsidRPr="00CB0080">
        <w:rPr>
          <w:sz w:val="28"/>
          <w:szCs w:val="28"/>
          <w:lang w:val="x-none" w:eastAsia="x-none"/>
        </w:rPr>
        <w:t>соглас</w:t>
      </w:r>
      <w:r w:rsidR="006907A0">
        <w:rPr>
          <w:sz w:val="28"/>
          <w:szCs w:val="28"/>
          <w:lang w:val="x-none" w:eastAsia="x-none"/>
        </w:rPr>
        <w:t>но приложению.</w:t>
      </w:r>
    </w:p>
    <w:p w:rsidR="00747005" w:rsidRDefault="00AA2099" w:rsidP="00AA2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2. </w:t>
      </w:r>
      <w:r w:rsidR="006907A0" w:rsidRPr="00CB0080">
        <w:rPr>
          <w:sz w:val="28"/>
          <w:szCs w:val="28"/>
        </w:rPr>
        <w:t xml:space="preserve">Опубликовать настоящее </w:t>
      </w:r>
      <w:r w:rsidR="0040691D">
        <w:rPr>
          <w:sz w:val="28"/>
          <w:szCs w:val="28"/>
        </w:rPr>
        <w:t>постановление</w:t>
      </w:r>
      <w:r w:rsidR="006907A0" w:rsidRPr="00CB0080">
        <w:rPr>
          <w:sz w:val="28"/>
          <w:szCs w:val="28"/>
        </w:rPr>
        <w:t xml:space="preserve"> в официальном 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6907A0" w:rsidRDefault="00AA2099" w:rsidP="006907A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40691D">
        <w:rPr>
          <w:color w:val="000000"/>
          <w:sz w:val="28"/>
          <w:szCs w:val="28"/>
        </w:rPr>
        <w:t> Постановление</w:t>
      </w:r>
      <w:r w:rsidR="006907A0">
        <w:rPr>
          <w:color w:val="000000"/>
          <w:sz w:val="28"/>
          <w:szCs w:val="28"/>
        </w:rPr>
        <w:t xml:space="preserve"> вступает в силу</w:t>
      </w:r>
      <w:r w:rsidR="006907A0" w:rsidRPr="006907A0">
        <w:rPr>
          <w:sz w:val="28"/>
          <w:szCs w:val="28"/>
        </w:rPr>
        <w:t xml:space="preserve"> </w:t>
      </w:r>
      <w:r w:rsidR="006907A0" w:rsidRPr="0056754F">
        <w:rPr>
          <w:sz w:val="28"/>
          <w:szCs w:val="28"/>
        </w:rPr>
        <w:t>на следующий день после дня его официального опубликования.</w:t>
      </w:r>
    </w:p>
    <w:p w:rsidR="00747005" w:rsidRDefault="00AA2099" w:rsidP="007470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07A0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proofErr w:type="gramStart"/>
      <w:r w:rsidR="006907A0" w:rsidRPr="00A00458">
        <w:rPr>
          <w:sz w:val="28"/>
          <w:szCs w:val="28"/>
        </w:rPr>
        <w:t>Контроль за</w:t>
      </w:r>
      <w:proofErr w:type="gramEnd"/>
      <w:r w:rsidR="006907A0" w:rsidRPr="00A00458">
        <w:rPr>
          <w:sz w:val="28"/>
          <w:szCs w:val="28"/>
        </w:rPr>
        <w:t xml:space="preserve"> исполнением настоящего </w:t>
      </w:r>
      <w:r w:rsidR="0040691D">
        <w:rPr>
          <w:sz w:val="28"/>
          <w:szCs w:val="28"/>
        </w:rPr>
        <w:t>постановления</w:t>
      </w:r>
      <w:r w:rsidR="006907A0" w:rsidRPr="00A00458">
        <w:rPr>
          <w:sz w:val="28"/>
          <w:szCs w:val="28"/>
        </w:rPr>
        <w:t xml:space="preserve"> возложить на главу  администрации Бессоновского района Пензенской области.</w:t>
      </w:r>
    </w:p>
    <w:p w:rsidR="006907A0" w:rsidRDefault="006907A0" w:rsidP="00747005">
      <w:pPr>
        <w:jc w:val="both"/>
        <w:rPr>
          <w:spacing w:val="-4"/>
          <w:sz w:val="28"/>
          <w:szCs w:val="28"/>
        </w:rPr>
      </w:pPr>
    </w:p>
    <w:p w:rsidR="0041435F" w:rsidRDefault="0041435F" w:rsidP="00747005">
      <w:pPr>
        <w:jc w:val="both"/>
        <w:rPr>
          <w:spacing w:val="-4"/>
          <w:sz w:val="28"/>
          <w:szCs w:val="28"/>
        </w:rPr>
      </w:pPr>
    </w:p>
    <w:p w:rsidR="00747005" w:rsidRDefault="00C61365" w:rsidP="0074700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41435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47005">
        <w:rPr>
          <w:sz w:val="28"/>
          <w:szCs w:val="28"/>
        </w:rPr>
        <w:t xml:space="preserve"> администрации района </w:t>
      </w:r>
      <w:r w:rsidR="00A636A5">
        <w:rPr>
          <w:sz w:val="28"/>
          <w:szCs w:val="28"/>
        </w:rPr>
        <w:t xml:space="preserve"> </w:t>
      </w:r>
      <w:r w:rsidR="008C1825">
        <w:rPr>
          <w:sz w:val="28"/>
          <w:szCs w:val="28"/>
        </w:rPr>
        <w:t xml:space="preserve">  </w:t>
      </w:r>
      <w:r w:rsidR="00A366D5">
        <w:rPr>
          <w:sz w:val="28"/>
          <w:szCs w:val="28"/>
        </w:rPr>
        <w:t xml:space="preserve"> </w:t>
      </w:r>
      <w:r w:rsidR="00B503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Карагодин</w:t>
      </w:r>
      <w:proofErr w:type="spellEnd"/>
    </w:p>
    <w:p w:rsidR="00B503E5" w:rsidRDefault="00B503E5" w:rsidP="00747005">
      <w:pPr>
        <w:rPr>
          <w:sz w:val="28"/>
          <w:szCs w:val="28"/>
        </w:rPr>
      </w:pPr>
    </w:p>
    <w:p w:rsidR="00B36883" w:rsidRDefault="00B36883" w:rsidP="00B36883">
      <w:pPr>
        <w:keepNext/>
        <w:keepLines/>
        <w:spacing w:after="360"/>
        <w:jc w:val="right"/>
        <w:outlineLvl w:val="1"/>
        <w:rPr>
          <w:b/>
        </w:rPr>
      </w:pPr>
      <w:r>
        <w:rPr>
          <w:bCs/>
          <w:sz w:val="20"/>
          <w:szCs w:val="20"/>
        </w:rPr>
        <w:lastRenderedPageBreak/>
        <w:t xml:space="preserve"> </w:t>
      </w:r>
      <w:r w:rsidR="006907A0" w:rsidRPr="006907A0">
        <w:rPr>
          <w:bCs/>
          <w:sz w:val="20"/>
          <w:szCs w:val="20"/>
        </w:rPr>
        <w:t>Приложение</w:t>
      </w:r>
      <w:bookmarkStart w:id="1" w:name="_Toc27654965"/>
      <w:bookmarkStart w:id="2" w:name="_Toc27567942"/>
      <w:bookmarkStart w:id="3" w:name="_Toc27567818"/>
      <w:r w:rsidRPr="00B36883">
        <w:rPr>
          <w:b/>
        </w:rPr>
        <w:t xml:space="preserve"> </w:t>
      </w:r>
      <w:bookmarkEnd w:id="1"/>
      <w:bookmarkEnd w:id="2"/>
      <w:bookmarkEnd w:id="3"/>
    </w:p>
    <w:p w:rsidR="00B503E5" w:rsidRPr="003C50F9" w:rsidRDefault="00B503E5" w:rsidP="00B503E5">
      <w:pPr>
        <w:keepNext/>
        <w:keepLines/>
        <w:spacing w:after="360"/>
        <w:jc w:val="center"/>
        <w:outlineLvl w:val="1"/>
        <w:rPr>
          <w:b/>
          <w:sz w:val="20"/>
          <w:szCs w:val="20"/>
        </w:rPr>
      </w:pPr>
      <w:bookmarkStart w:id="4" w:name="_Toc42604694"/>
      <w:bookmarkStart w:id="5" w:name="_Toc466280432"/>
      <w:bookmarkStart w:id="6" w:name="_Toc11680234"/>
      <w:r w:rsidRPr="003C50F9">
        <w:rPr>
          <w:b/>
          <w:sz w:val="20"/>
          <w:szCs w:val="20"/>
        </w:rPr>
        <w:t>Статья 11. Градостроительный регламент. ОД-1 Зона размещения объектов общественной и предпринимательской деятельности</w:t>
      </w:r>
      <w:bookmarkEnd w:id="4"/>
      <w:bookmarkEnd w:id="5"/>
      <w:bookmarkEnd w:id="6"/>
    </w:p>
    <w:p w:rsidR="00B503E5" w:rsidRPr="003C50F9" w:rsidRDefault="00B503E5" w:rsidP="00B503E5">
      <w:pPr>
        <w:widowControl w:val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Pr="003C50F9">
        <w:rPr>
          <w:b/>
          <w:sz w:val="20"/>
          <w:szCs w:val="20"/>
        </w:rPr>
        <w:t>Зона выделена для создания правовых условий формирования территорий для размещения объектов капитального в целях обеспечения удовлетворения бытовых, социальных и духовных потребностей человека, а также для размещения объектов капитального строительства в целях извлечения прибыли на основании торговой, банковской и иной предпринимательской деятельности.</w:t>
      </w:r>
    </w:p>
    <w:p w:rsidR="00B503E5" w:rsidRPr="003C50F9" w:rsidRDefault="00B503E5" w:rsidP="00B503E5">
      <w:pPr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8887"/>
      </w:tblGrid>
      <w:tr w:rsidR="00B503E5" w:rsidRPr="003C50F9" w:rsidTr="001B1B7D">
        <w:trPr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bookmarkStart w:id="7" w:name="_Toc277073834"/>
            <w:bookmarkStart w:id="8" w:name="_Toc413057559"/>
            <w:r w:rsidRPr="003C50F9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C50F9">
              <w:rPr>
                <w:b/>
                <w:sz w:val="20"/>
                <w:szCs w:val="20"/>
              </w:rPr>
              <w:t>Основные виды разрешенного использования земельных участков.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Предоставление коммунальных услуг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Дома социального обслуживания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Оказание социальной помощи населению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Оказание услуг связи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Бытовое обслуживание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Амбулаторно-поликлиническое обслуживание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Стационарное медицинское обслуживание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Дошкольное, начальное и среднее общее образование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Среднее и высшее профессиональное образование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3.6.1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Объекты культурно-досуговой деятельности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3.7.1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Осуществление религиозных обрядов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3.8.1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Государственное управление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3.9.1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3.10.1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Амбулаторное ветеринарное обслуживание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Деловое управление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proofErr w:type="gramStart"/>
            <w:r w:rsidRPr="003C50F9">
              <w:rPr>
                <w:sz w:val="20"/>
                <w:szCs w:val="20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Рынки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Магазины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Банковская и страховая деятельность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Общественное питание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Гостиничное обслуживание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4.8.1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Развлекательные мероприятия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Служебные гаражи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4.10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C50F9">
              <w:rPr>
                <w:sz w:val="20"/>
                <w:szCs w:val="20"/>
              </w:rPr>
              <w:t>Выставочно</w:t>
            </w:r>
            <w:proofErr w:type="spellEnd"/>
            <w:r w:rsidRPr="003C50F9">
              <w:rPr>
                <w:sz w:val="20"/>
                <w:szCs w:val="20"/>
              </w:rPr>
              <w:t>-ярмарочная деятельность</w:t>
            </w:r>
          </w:p>
        </w:tc>
      </w:tr>
      <w:tr w:rsidR="00B503E5" w:rsidRPr="003C50F9" w:rsidTr="001B1B7D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5.1.2</w:t>
            </w:r>
          </w:p>
        </w:tc>
        <w:tc>
          <w:tcPr>
            <w:tcW w:w="8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Обеспечение занятий спортом в помещениях</w:t>
            </w:r>
          </w:p>
        </w:tc>
      </w:tr>
      <w:tr w:rsidR="00B503E5" w:rsidRPr="003C50F9" w:rsidTr="001B1B7D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3C50F9">
              <w:rPr>
                <w:sz w:val="20"/>
                <w:szCs w:val="20"/>
                <w:highlight w:val="yellow"/>
              </w:rPr>
              <w:t>5.1.3</w:t>
            </w:r>
          </w:p>
        </w:tc>
        <w:tc>
          <w:tcPr>
            <w:tcW w:w="8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  <w:highlight w:val="yellow"/>
              </w:rPr>
            </w:pPr>
            <w:r w:rsidRPr="003C50F9">
              <w:rPr>
                <w:sz w:val="20"/>
                <w:szCs w:val="20"/>
                <w:highlight w:val="yellow"/>
              </w:rPr>
              <w:t>Площадки для занятий спортом</w:t>
            </w:r>
          </w:p>
        </w:tc>
      </w:tr>
      <w:tr w:rsidR="00B503E5" w:rsidRPr="003C50F9" w:rsidTr="001B1B7D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8.3</w:t>
            </w:r>
          </w:p>
        </w:tc>
        <w:tc>
          <w:tcPr>
            <w:tcW w:w="8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Обеспечение внутреннего правопорядка</w:t>
            </w:r>
          </w:p>
        </w:tc>
      </w:tr>
      <w:tr w:rsidR="00B503E5" w:rsidRPr="003C50F9" w:rsidTr="001B1B7D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9.3</w:t>
            </w:r>
          </w:p>
        </w:tc>
        <w:tc>
          <w:tcPr>
            <w:tcW w:w="8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Историко-культурная деятельность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12.0.1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Улично-дорожная сеть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12.0.2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Благоустройство территории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C50F9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C50F9">
              <w:rPr>
                <w:b/>
                <w:sz w:val="20"/>
                <w:szCs w:val="20"/>
              </w:rPr>
              <w:t>Вспомогательные виды разрешённого использования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2.7.1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 xml:space="preserve">Хранение автотранспорта 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C50F9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C50F9">
              <w:rPr>
                <w:b/>
                <w:sz w:val="20"/>
                <w:szCs w:val="20"/>
              </w:rPr>
              <w:t>Условно разрешенные виды разрешённого использования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3.10.2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Приюты для животных</w:t>
            </w:r>
          </w:p>
        </w:tc>
      </w:tr>
      <w:tr w:rsidR="00B503E5" w:rsidRPr="003C50F9" w:rsidTr="001B1B7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3E5" w:rsidRPr="003C50F9" w:rsidRDefault="00B503E5" w:rsidP="001B1B7D">
            <w:pPr>
              <w:widowControl w:val="0"/>
              <w:jc w:val="center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5.2.1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3E5" w:rsidRPr="003C50F9" w:rsidRDefault="00B503E5" w:rsidP="001B1B7D">
            <w:pPr>
              <w:widowControl w:val="0"/>
              <w:rPr>
                <w:sz w:val="20"/>
                <w:szCs w:val="20"/>
              </w:rPr>
            </w:pPr>
            <w:r w:rsidRPr="003C50F9">
              <w:rPr>
                <w:sz w:val="20"/>
                <w:szCs w:val="20"/>
              </w:rPr>
              <w:t>Туристическое обслуживание</w:t>
            </w:r>
          </w:p>
        </w:tc>
      </w:tr>
    </w:tbl>
    <w:p w:rsidR="00B503E5" w:rsidRPr="003C50F9" w:rsidRDefault="00B503E5" w:rsidP="00B503E5">
      <w:pPr>
        <w:rPr>
          <w:b/>
          <w:sz w:val="20"/>
          <w:szCs w:val="20"/>
        </w:rPr>
      </w:pPr>
    </w:p>
    <w:p w:rsidR="00B503E5" w:rsidRPr="003C50F9" w:rsidRDefault="00B503E5" w:rsidP="00B503E5">
      <w:pPr>
        <w:rPr>
          <w:b/>
          <w:sz w:val="20"/>
          <w:szCs w:val="20"/>
        </w:rPr>
      </w:pPr>
      <w:r w:rsidRPr="003C50F9">
        <w:rPr>
          <w:b/>
          <w:sz w:val="20"/>
          <w:szCs w:val="20"/>
        </w:rPr>
        <w:t>2.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B503E5" w:rsidRPr="003C50F9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Предельные (минимальные и (или) максимальные) размеры земельных участков, в том числе их площадь: размеры земельных участков не подлежат установлению; минимальная площадь земельных участков – 300 м²; максимальная площадь земельных участков – 5000 м².</w:t>
      </w:r>
    </w:p>
    <w:p w:rsidR="00B503E5" w:rsidRPr="003C50F9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  <w:shd w:val="clear" w:color="auto" w:fill="FFFFFF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Pr="003C50F9">
        <w:rPr>
          <w:sz w:val="20"/>
          <w:szCs w:val="20"/>
        </w:rPr>
        <w:t xml:space="preserve"> – 5 м для строений, размещенных вдоль красных линий, улиц, дорог, и 3 м вдоль красных линий, проездов и по другим сторонам земельного участка.</w:t>
      </w:r>
    </w:p>
    <w:p w:rsidR="00B503E5" w:rsidRPr="003C50F9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Предельное количество этажей зданий, строений, сооружений – 5, предельная высота зданий, строений, сооружений – 20 м.</w:t>
      </w:r>
    </w:p>
    <w:p w:rsidR="00B503E5" w:rsidRPr="003C50F9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Максимальный процент застройки в границах земельного участка – 60%.</w:t>
      </w:r>
    </w:p>
    <w:p w:rsidR="00B503E5" w:rsidRPr="003C50F9" w:rsidRDefault="00B503E5" w:rsidP="00B503E5">
      <w:pPr>
        <w:rPr>
          <w:b/>
          <w:sz w:val="20"/>
          <w:szCs w:val="20"/>
        </w:rPr>
      </w:pPr>
    </w:p>
    <w:p w:rsidR="00B503E5" w:rsidRDefault="00B503E5" w:rsidP="00B503E5">
      <w:pPr>
        <w:rPr>
          <w:b/>
          <w:sz w:val="20"/>
          <w:szCs w:val="20"/>
        </w:rPr>
      </w:pPr>
      <w:r w:rsidRPr="003C50F9">
        <w:rPr>
          <w:b/>
          <w:sz w:val="20"/>
          <w:szCs w:val="20"/>
        </w:rPr>
        <w:t>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вида разрешенного использования с кодом 3.1.1:</w:t>
      </w:r>
    </w:p>
    <w:p w:rsidR="00B503E5" w:rsidRDefault="00B503E5" w:rsidP="00B503E5">
      <w:pPr>
        <w:rPr>
          <w:b/>
          <w:sz w:val="20"/>
          <w:szCs w:val="20"/>
        </w:rPr>
      </w:pPr>
    </w:p>
    <w:p w:rsidR="00B503E5" w:rsidRDefault="00B503E5" w:rsidP="00B503E5">
      <w:pPr>
        <w:rPr>
          <w:b/>
          <w:sz w:val="20"/>
          <w:szCs w:val="20"/>
        </w:rPr>
      </w:pPr>
    </w:p>
    <w:p w:rsidR="00B503E5" w:rsidRDefault="00B503E5" w:rsidP="00B503E5">
      <w:pPr>
        <w:rPr>
          <w:b/>
          <w:sz w:val="20"/>
          <w:szCs w:val="20"/>
        </w:rPr>
      </w:pPr>
    </w:p>
    <w:p w:rsidR="00B503E5" w:rsidRPr="003C50F9" w:rsidRDefault="00B503E5" w:rsidP="00B503E5">
      <w:pPr>
        <w:rPr>
          <w:b/>
          <w:sz w:val="20"/>
          <w:szCs w:val="20"/>
        </w:rPr>
      </w:pPr>
    </w:p>
    <w:p w:rsidR="00B503E5" w:rsidRPr="003C50F9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Предельные (минимальные и (или) максимальные) размеры земельных участков, в том числе их площадь: размеры земельных участков не подлежат установлению; минимальная площадь земельных участков – 0,05 м</w:t>
      </w:r>
      <w:proofErr w:type="gramStart"/>
      <w:r w:rsidRPr="003C50F9">
        <w:rPr>
          <w:sz w:val="20"/>
          <w:szCs w:val="20"/>
          <w:vertAlign w:val="superscript"/>
        </w:rPr>
        <w:t>2</w:t>
      </w:r>
      <w:proofErr w:type="gramEnd"/>
      <w:r w:rsidRPr="003C50F9">
        <w:rPr>
          <w:sz w:val="20"/>
          <w:szCs w:val="20"/>
        </w:rPr>
        <w:t>; максимальная площадь земельных участков – 2000 м².</w:t>
      </w:r>
    </w:p>
    <w:p w:rsidR="00B503E5" w:rsidRPr="003C50F9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  <w:shd w:val="clear" w:color="auto" w:fill="FFFFFF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Pr="003C50F9">
        <w:rPr>
          <w:sz w:val="20"/>
          <w:szCs w:val="20"/>
        </w:rPr>
        <w:t xml:space="preserve"> – 0 м. </w:t>
      </w:r>
    </w:p>
    <w:p w:rsidR="00B503E5" w:rsidRPr="003C50F9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Предельное количество этажей зданий, строений, сооружений – 1, предельная высота зданий, строений, сооружений – 40 м.</w:t>
      </w:r>
    </w:p>
    <w:p w:rsidR="00B503E5" w:rsidRPr="003C50F9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Максимальный процент застройки в границах земельного участка – 100 %.</w:t>
      </w:r>
    </w:p>
    <w:p w:rsidR="00B503E5" w:rsidRPr="003C50F9" w:rsidRDefault="00B503E5" w:rsidP="00B503E5">
      <w:pPr>
        <w:rPr>
          <w:b/>
          <w:sz w:val="20"/>
          <w:szCs w:val="20"/>
        </w:rPr>
      </w:pPr>
    </w:p>
    <w:bookmarkEnd w:id="7"/>
    <w:bookmarkEnd w:id="8"/>
    <w:p w:rsidR="00B503E5" w:rsidRPr="003C50F9" w:rsidRDefault="00B503E5" w:rsidP="00B503E5">
      <w:pPr>
        <w:rPr>
          <w:b/>
          <w:sz w:val="20"/>
          <w:szCs w:val="20"/>
        </w:rPr>
      </w:pPr>
      <w:r w:rsidRPr="003C50F9">
        <w:rPr>
          <w:b/>
          <w:sz w:val="20"/>
          <w:szCs w:val="20"/>
        </w:rPr>
        <w:t>4. 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вида разрешенного использования с кодом3.5.1:</w:t>
      </w:r>
    </w:p>
    <w:p w:rsidR="00B503E5" w:rsidRPr="003C50F9" w:rsidRDefault="00B503E5" w:rsidP="00B503E5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Предельные (минимальные и (или) максимальные) размеры земельных участков, в том числе их площадь: размеры земельных участков не подлежат установлению; минимальная площадь земельных участков при вместимости:</w:t>
      </w:r>
    </w:p>
    <w:p w:rsidR="00B503E5" w:rsidRPr="003C50F9" w:rsidRDefault="00B503E5" w:rsidP="00B503E5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C50F9">
        <w:rPr>
          <w:sz w:val="20"/>
          <w:szCs w:val="20"/>
        </w:rPr>
        <w:t>- до 100 мест – 44 кв. м. на 1 чел.;</w:t>
      </w:r>
    </w:p>
    <w:p w:rsidR="00B503E5" w:rsidRPr="003C50F9" w:rsidRDefault="00B503E5" w:rsidP="00B503E5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C50F9">
        <w:rPr>
          <w:sz w:val="20"/>
          <w:szCs w:val="20"/>
        </w:rPr>
        <w:t>- свыше 100 мест – 38 кв. м. на 1 чел.;</w:t>
      </w:r>
    </w:p>
    <w:p w:rsidR="00B503E5" w:rsidRPr="003C50F9" w:rsidRDefault="00B503E5" w:rsidP="00B503E5">
      <w:pPr>
        <w:autoSpaceDE w:val="0"/>
        <w:autoSpaceDN w:val="0"/>
        <w:adjustRightInd w:val="0"/>
        <w:rPr>
          <w:sz w:val="20"/>
          <w:szCs w:val="20"/>
        </w:rPr>
      </w:pPr>
      <w:r w:rsidRPr="003C50F9">
        <w:rPr>
          <w:sz w:val="20"/>
          <w:szCs w:val="20"/>
        </w:rPr>
        <w:t>- в комплексе дошкольных образовательных организаций вместимости свыше 500 мест – 33кв.м. на 1 чел.</w:t>
      </w:r>
    </w:p>
    <w:p w:rsidR="00B503E5" w:rsidRPr="003C50F9" w:rsidRDefault="00B503E5" w:rsidP="00B503E5">
      <w:pPr>
        <w:numPr>
          <w:ilvl w:val="0"/>
          <w:numId w:val="7"/>
        </w:numPr>
        <w:autoSpaceDE w:val="0"/>
        <w:autoSpaceDN w:val="0"/>
        <w:adjustRightInd w:val="0"/>
        <w:ind w:left="0" w:firstLine="698"/>
        <w:contextualSpacing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Максимальная площадь земельных участков не подлежит установлению.</w:t>
      </w:r>
    </w:p>
    <w:p w:rsidR="00B503E5" w:rsidRPr="003C50F9" w:rsidRDefault="00B503E5" w:rsidP="00B503E5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5 м для строений, размещенных вдоль красных линий, улиц, дорог и проездов, и 3 м по другим сторонам земельного участка;</w:t>
      </w:r>
    </w:p>
    <w:p w:rsidR="00B503E5" w:rsidRPr="003C50F9" w:rsidRDefault="00B503E5" w:rsidP="00B503E5">
      <w:pPr>
        <w:numPr>
          <w:ilvl w:val="0"/>
          <w:numId w:val="7"/>
        </w:numPr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Предельное количество этажей – 3.</w:t>
      </w:r>
    </w:p>
    <w:p w:rsidR="00B503E5" w:rsidRPr="003C50F9" w:rsidRDefault="00B503E5" w:rsidP="00B503E5">
      <w:pPr>
        <w:numPr>
          <w:ilvl w:val="0"/>
          <w:numId w:val="7"/>
        </w:numPr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Предельная высота прозрачного ограждения – 2 метра.</w:t>
      </w:r>
    </w:p>
    <w:p w:rsidR="00B503E5" w:rsidRPr="003C50F9" w:rsidRDefault="00B503E5" w:rsidP="00B503E5">
      <w:pPr>
        <w:numPr>
          <w:ilvl w:val="0"/>
          <w:numId w:val="7"/>
        </w:numPr>
        <w:autoSpaceDE w:val="0"/>
        <w:autoSpaceDN w:val="0"/>
        <w:adjustRightInd w:val="0"/>
        <w:ind w:hanging="11"/>
        <w:contextualSpacing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Максимальный процент застройки в границах земельного участка 50%.</w:t>
      </w:r>
    </w:p>
    <w:p w:rsidR="00B503E5" w:rsidRPr="003C50F9" w:rsidRDefault="00B503E5" w:rsidP="00B503E5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Предельные (минимальные и (или) максимальные) размеры земельных участков школ, в том числе их площадь: размеры земельных участков не подлежат установлению; минимальная площадь земельных участков при вместимости:</w:t>
      </w:r>
    </w:p>
    <w:p w:rsidR="00B503E5" w:rsidRPr="003C50F9" w:rsidRDefault="00B503E5" w:rsidP="00B503E5">
      <w:pPr>
        <w:autoSpaceDE w:val="0"/>
        <w:autoSpaceDN w:val="0"/>
        <w:adjustRightInd w:val="0"/>
        <w:ind w:left="709"/>
        <w:contextualSpacing/>
        <w:rPr>
          <w:sz w:val="20"/>
          <w:szCs w:val="20"/>
        </w:rPr>
      </w:pPr>
      <w:r w:rsidRPr="003C50F9">
        <w:rPr>
          <w:sz w:val="20"/>
          <w:szCs w:val="20"/>
        </w:rPr>
        <w:t>- до 400 мест – 55 кв. м. на 1 учащегося;</w:t>
      </w:r>
    </w:p>
    <w:p w:rsidR="00B503E5" w:rsidRPr="003C50F9" w:rsidRDefault="00B503E5" w:rsidP="00B503E5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C50F9">
        <w:rPr>
          <w:sz w:val="20"/>
          <w:szCs w:val="20"/>
        </w:rPr>
        <w:t>- от 401 до 500 мест – 65 кв. м. на 1 учащегося;</w:t>
      </w:r>
    </w:p>
    <w:p w:rsidR="00B503E5" w:rsidRPr="003C50F9" w:rsidRDefault="00B503E5" w:rsidP="00B503E5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C50F9">
        <w:rPr>
          <w:sz w:val="20"/>
          <w:szCs w:val="20"/>
        </w:rPr>
        <w:t>- от 501 до 600 мест – 55 кв. м. на 1 учащегося;</w:t>
      </w:r>
    </w:p>
    <w:p w:rsidR="00B503E5" w:rsidRPr="003C50F9" w:rsidRDefault="00B503E5" w:rsidP="00B503E5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C50F9">
        <w:rPr>
          <w:sz w:val="20"/>
          <w:szCs w:val="20"/>
        </w:rPr>
        <w:t>- от 601 до 800 мест – 45 кв. м. на 1 учащегося;</w:t>
      </w:r>
    </w:p>
    <w:p w:rsidR="00B503E5" w:rsidRPr="003C50F9" w:rsidRDefault="00B503E5" w:rsidP="00B503E5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C50F9">
        <w:rPr>
          <w:sz w:val="20"/>
          <w:szCs w:val="20"/>
        </w:rPr>
        <w:t>- от 801 до 1100 мест – 36 кв. м. на 1 учащегося;</w:t>
      </w:r>
    </w:p>
    <w:p w:rsidR="00B503E5" w:rsidRPr="003C50F9" w:rsidRDefault="00B503E5" w:rsidP="00B503E5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C50F9">
        <w:rPr>
          <w:sz w:val="20"/>
          <w:szCs w:val="20"/>
        </w:rPr>
        <w:t>- от 1100 до 1500 – 23кв.м. на 1 учащегося;</w:t>
      </w:r>
    </w:p>
    <w:p w:rsidR="00B503E5" w:rsidRPr="003C50F9" w:rsidRDefault="00B503E5" w:rsidP="00B503E5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C50F9">
        <w:rPr>
          <w:sz w:val="20"/>
          <w:szCs w:val="20"/>
        </w:rPr>
        <w:t>- от 1500 до 2000 – 18кв.м. на 1 учащегося;</w:t>
      </w:r>
    </w:p>
    <w:p w:rsidR="00B503E5" w:rsidRPr="003C50F9" w:rsidRDefault="00B503E5" w:rsidP="00B503E5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3C50F9">
        <w:rPr>
          <w:sz w:val="20"/>
          <w:szCs w:val="20"/>
        </w:rPr>
        <w:t xml:space="preserve">- свыше 2000 – 16 </w:t>
      </w:r>
      <w:proofErr w:type="spellStart"/>
      <w:r w:rsidRPr="003C50F9">
        <w:rPr>
          <w:sz w:val="20"/>
          <w:szCs w:val="20"/>
        </w:rPr>
        <w:t>кв.м</w:t>
      </w:r>
      <w:proofErr w:type="spellEnd"/>
      <w:r w:rsidRPr="003C50F9">
        <w:rPr>
          <w:sz w:val="20"/>
          <w:szCs w:val="20"/>
        </w:rPr>
        <w:t>. на 1 учащегося.</w:t>
      </w:r>
    </w:p>
    <w:p w:rsidR="00B503E5" w:rsidRPr="003C50F9" w:rsidRDefault="00B503E5" w:rsidP="00B503E5">
      <w:pPr>
        <w:numPr>
          <w:ilvl w:val="0"/>
          <w:numId w:val="8"/>
        </w:numPr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Максимальная площадь земельных участков не подлежит установлению.</w:t>
      </w:r>
    </w:p>
    <w:p w:rsidR="00B503E5" w:rsidRPr="003C50F9" w:rsidRDefault="00B503E5" w:rsidP="00B503E5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5 м для строений, размещенных вдоль красных линий, улиц, дорог, и 3 м вдоль красных линий, проездов и по другим сторонам земельного участка.</w:t>
      </w:r>
    </w:p>
    <w:p w:rsidR="00B503E5" w:rsidRPr="003C50F9" w:rsidRDefault="00B503E5" w:rsidP="00B503E5">
      <w:pPr>
        <w:numPr>
          <w:ilvl w:val="0"/>
          <w:numId w:val="7"/>
        </w:numPr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Предельное количество этажей – 3.</w:t>
      </w:r>
    </w:p>
    <w:p w:rsidR="00B503E5" w:rsidRPr="003C50F9" w:rsidRDefault="00B503E5" w:rsidP="00B503E5">
      <w:pPr>
        <w:numPr>
          <w:ilvl w:val="0"/>
          <w:numId w:val="7"/>
        </w:numPr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Предельная высота прозрачного ограждения – 2 метра.</w:t>
      </w:r>
    </w:p>
    <w:p w:rsidR="00B503E5" w:rsidRPr="003C50F9" w:rsidRDefault="00B503E5" w:rsidP="00B503E5">
      <w:pPr>
        <w:widowControl w:val="0"/>
        <w:numPr>
          <w:ilvl w:val="0"/>
          <w:numId w:val="7"/>
        </w:numPr>
        <w:ind w:left="1418" w:hanging="709"/>
        <w:contextualSpacing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Максимальный процент застройки в границах земельного участка 50%.</w:t>
      </w:r>
    </w:p>
    <w:p w:rsidR="00B503E5" w:rsidRPr="003C50F9" w:rsidRDefault="00B503E5" w:rsidP="00B503E5">
      <w:pPr>
        <w:rPr>
          <w:sz w:val="20"/>
          <w:szCs w:val="20"/>
        </w:rPr>
      </w:pPr>
    </w:p>
    <w:p w:rsidR="00B503E5" w:rsidRPr="003C50F9" w:rsidRDefault="00B503E5" w:rsidP="00B503E5">
      <w:pPr>
        <w:rPr>
          <w:b/>
          <w:sz w:val="20"/>
          <w:szCs w:val="20"/>
        </w:rPr>
      </w:pPr>
      <w:r w:rsidRPr="003C50F9">
        <w:rPr>
          <w:b/>
          <w:sz w:val="20"/>
          <w:szCs w:val="20"/>
        </w:rPr>
        <w:t>5.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видов разрешенного использования с кодами 3.4.1, 3.6.1, 3.10.1, 3.10.2.</w:t>
      </w:r>
    </w:p>
    <w:p w:rsidR="00B503E5" w:rsidRPr="003C50F9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</w:rPr>
        <w:t xml:space="preserve">Предельные (минимальные и (или) максимальные) размеры земельных участков, в том числе их площадь: размеры земельных участков не подлежат установлению; минимальная площадь земельных участков – 2000 м², максимальная площадь земельного участка не подлежит установлению. </w:t>
      </w:r>
    </w:p>
    <w:p w:rsidR="00B503E5" w:rsidRPr="003C50F9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  <w:shd w:val="clear" w:color="auto" w:fill="FFFFFF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Pr="003C50F9">
        <w:rPr>
          <w:sz w:val="20"/>
          <w:szCs w:val="20"/>
        </w:rPr>
        <w:t xml:space="preserve"> – 5 м для строений, размещенных вдоль красных линий, улиц, дорог, и 3 м вдоль красных линий, проездов и по другим сторонам земельного участка.</w:t>
      </w:r>
    </w:p>
    <w:p w:rsidR="00B503E5" w:rsidRPr="003C50F9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Предельное количество этажей зданий, строений, сооружений не подлежит установлению.</w:t>
      </w:r>
    </w:p>
    <w:p w:rsidR="00B503E5" w:rsidRPr="003C50F9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Максимальный процент застройки в границах земельного участка не подлежит установлению.</w:t>
      </w:r>
    </w:p>
    <w:p w:rsidR="00B503E5" w:rsidRPr="003C50F9" w:rsidRDefault="00B503E5" w:rsidP="00B503E5">
      <w:pPr>
        <w:rPr>
          <w:sz w:val="20"/>
          <w:szCs w:val="20"/>
        </w:rPr>
      </w:pPr>
    </w:p>
    <w:p w:rsidR="00B503E5" w:rsidRPr="003C50F9" w:rsidRDefault="00B503E5" w:rsidP="00B503E5">
      <w:pPr>
        <w:rPr>
          <w:b/>
          <w:sz w:val="20"/>
          <w:szCs w:val="20"/>
        </w:rPr>
      </w:pPr>
      <w:r w:rsidRPr="003C50F9">
        <w:rPr>
          <w:b/>
          <w:sz w:val="20"/>
          <w:szCs w:val="20"/>
        </w:rPr>
        <w:t>6.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видов разрешенного использования с кодами 2.7.1 и 4.9.</w:t>
      </w:r>
    </w:p>
    <w:p w:rsidR="00B503E5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Предельные (минимальные и (или) максимальные) размеры земельных участков, в том числе их площадь: размеры земельных участков не подлежат установлению; минимальная площадь земельных участков – 20 м²; максимальная площадь земельных участков – 550 м².</w:t>
      </w:r>
    </w:p>
    <w:p w:rsidR="00B503E5" w:rsidRDefault="00B503E5" w:rsidP="00B503E5">
      <w:pPr>
        <w:widowControl w:val="0"/>
        <w:jc w:val="both"/>
        <w:rPr>
          <w:sz w:val="20"/>
          <w:szCs w:val="20"/>
        </w:rPr>
      </w:pPr>
    </w:p>
    <w:p w:rsidR="00B503E5" w:rsidRDefault="00B503E5" w:rsidP="00B503E5">
      <w:pPr>
        <w:widowControl w:val="0"/>
        <w:jc w:val="both"/>
        <w:rPr>
          <w:sz w:val="20"/>
          <w:szCs w:val="20"/>
        </w:rPr>
      </w:pPr>
    </w:p>
    <w:p w:rsidR="00B503E5" w:rsidRPr="003C50F9" w:rsidRDefault="00B503E5" w:rsidP="00B503E5">
      <w:pPr>
        <w:widowControl w:val="0"/>
        <w:jc w:val="both"/>
        <w:rPr>
          <w:sz w:val="20"/>
          <w:szCs w:val="20"/>
        </w:rPr>
      </w:pPr>
    </w:p>
    <w:p w:rsidR="00B503E5" w:rsidRPr="003C50F9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  <w:shd w:val="clear" w:color="auto" w:fill="FFFFFF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Pr="003C50F9">
        <w:rPr>
          <w:sz w:val="20"/>
          <w:szCs w:val="20"/>
        </w:rPr>
        <w:t xml:space="preserve"> – 0 м. </w:t>
      </w:r>
    </w:p>
    <w:p w:rsidR="00B503E5" w:rsidRPr="003C50F9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</w:rPr>
        <w:t xml:space="preserve">Максимальный процент застройки в границах земельного участка – 100%. </w:t>
      </w:r>
    </w:p>
    <w:p w:rsidR="00B503E5" w:rsidRPr="003C50F9" w:rsidRDefault="00B503E5" w:rsidP="00B503E5">
      <w:pPr>
        <w:widowControl w:val="0"/>
        <w:numPr>
          <w:ilvl w:val="0"/>
          <w:numId w:val="6"/>
        </w:numPr>
        <w:ind w:left="0" w:firstLine="709"/>
        <w:jc w:val="both"/>
        <w:rPr>
          <w:sz w:val="20"/>
          <w:szCs w:val="20"/>
        </w:rPr>
      </w:pPr>
      <w:r w:rsidRPr="003C50F9">
        <w:rPr>
          <w:sz w:val="20"/>
          <w:szCs w:val="20"/>
        </w:rPr>
        <w:t>Предельное количество этажей зданий, строений, сооружений – 1, предельная высота зданий, строений, сооружений – 6 м.</w:t>
      </w:r>
    </w:p>
    <w:p w:rsidR="00B503E5" w:rsidRPr="003C50F9" w:rsidRDefault="00B503E5" w:rsidP="00B503E5">
      <w:pPr>
        <w:rPr>
          <w:sz w:val="20"/>
          <w:szCs w:val="20"/>
        </w:rPr>
      </w:pPr>
    </w:p>
    <w:p w:rsidR="00B503E5" w:rsidRPr="003C50F9" w:rsidRDefault="00B503E5" w:rsidP="00B503E5">
      <w:pPr>
        <w:rPr>
          <w:b/>
          <w:sz w:val="20"/>
          <w:szCs w:val="20"/>
        </w:rPr>
      </w:pPr>
      <w:r w:rsidRPr="003C50F9">
        <w:rPr>
          <w:b/>
          <w:sz w:val="20"/>
          <w:szCs w:val="20"/>
        </w:rPr>
        <w:t xml:space="preserve">7. Расстояния между жилыми домами и общественными зданиями и сооружениями, а также между жилыми домами и общественными зданиями и сооружениями и линейными объектами определяются, исходя из требований противопожарной безопасности, инсоляции и санитарной защиты в соответствии с действующими нормами и правилами, а также в соответствии с региональными (местными) нормативами градостроительного проектирования. </w:t>
      </w:r>
    </w:p>
    <w:p w:rsidR="00B503E5" w:rsidRPr="003C50F9" w:rsidRDefault="00B503E5" w:rsidP="00B503E5">
      <w:pPr>
        <w:rPr>
          <w:sz w:val="20"/>
          <w:szCs w:val="20"/>
        </w:rPr>
      </w:pPr>
    </w:p>
    <w:p w:rsidR="00B503E5" w:rsidRPr="003C50F9" w:rsidRDefault="00B503E5" w:rsidP="00B503E5">
      <w:pPr>
        <w:rPr>
          <w:b/>
          <w:sz w:val="20"/>
          <w:szCs w:val="20"/>
        </w:rPr>
      </w:pPr>
      <w:r w:rsidRPr="003C50F9">
        <w:rPr>
          <w:b/>
          <w:sz w:val="20"/>
          <w:szCs w:val="20"/>
        </w:rPr>
        <w:t xml:space="preserve">8. </w:t>
      </w:r>
      <w:proofErr w:type="gramStart"/>
      <w:r w:rsidRPr="003C50F9">
        <w:rPr>
          <w:b/>
          <w:sz w:val="20"/>
          <w:szCs w:val="20"/>
        </w:rPr>
        <w:t xml:space="preserve">В границах территориальной зоны имеются ограничения использования земельных участков и объектов капитального строительства, установленные в соответствии с законодательством Российской Федерации: санитарно-защитные зоны, </w:t>
      </w:r>
      <w:proofErr w:type="spellStart"/>
      <w:r w:rsidRPr="003C50F9">
        <w:rPr>
          <w:b/>
          <w:sz w:val="20"/>
          <w:szCs w:val="20"/>
        </w:rPr>
        <w:t>водоохранные</w:t>
      </w:r>
      <w:proofErr w:type="spellEnd"/>
      <w:r w:rsidRPr="003C50F9">
        <w:rPr>
          <w:b/>
          <w:sz w:val="20"/>
          <w:szCs w:val="20"/>
        </w:rPr>
        <w:t xml:space="preserve"> зоны, прибрежные защитные полосы, зоны санитарной охраны источников водоснабжения, охранные зоны электросетевого хозяйства, охранные зоны трубопроводов, защитные зоны объектов культурного наследия, охранные зоны газораспределительных сетей, придорожные полосы автомобильных дорог.</w:t>
      </w:r>
      <w:proofErr w:type="gramEnd"/>
    </w:p>
    <w:p w:rsidR="00B503E5" w:rsidRDefault="00B503E5" w:rsidP="00B503E5">
      <w:pPr>
        <w:jc w:val="right"/>
      </w:pPr>
    </w:p>
    <w:p w:rsidR="00B503E5" w:rsidRDefault="00B503E5" w:rsidP="00B36883">
      <w:pPr>
        <w:keepNext/>
        <w:keepLines/>
        <w:spacing w:after="360"/>
        <w:jc w:val="right"/>
        <w:outlineLvl w:val="1"/>
        <w:rPr>
          <w:b/>
        </w:rPr>
      </w:pPr>
    </w:p>
    <w:sectPr w:rsidR="00B503E5" w:rsidSect="00B503E5">
      <w:pgSz w:w="11906" w:h="16838" w:code="9"/>
      <w:pgMar w:top="454" w:right="851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28D" w:rsidRDefault="0015328D" w:rsidP="00B503E5">
      <w:r>
        <w:separator/>
      </w:r>
    </w:p>
  </w:endnote>
  <w:endnote w:type="continuationSeparator" w:id="0">
    <w:p w:rsidR="0015328D" w:rsidRDefault="0015328D" w:rsidP="00B5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28D" w:rsidRDefault="0015328D" w:rsidP="00B503E5">
      <w:r>
        <w:separator/>
      </w:r>
    </w:p>
  </w:footnote>
  <w:footnote w:type="continuationSeparator" w:id="0">
    <w:p w:rsidR="0015328D" w:rsidRDefault="0015328D" w:rsidP="00B5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441A0"/>
    <w:multiLevelType w:val="hybridMultilevel"/>
    <w:tmpl w:val="D222E15A"/>
    <w:lvl w:ilvl="0" w:tplc="041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">
    <w:nsid w:val="3B2420BB"/>
    <w:multiLevelType w:val="hybridMultilevel"/>
    <w:tmpl w:val="ACB0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6745D"/>
    <w:multiLevelType w:val="hybridMultilevel"/>
    <w:tmpl w:val="E4424082"/>
    <w:lvl w:ilvl="0" w:tplc="D6BC90E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3E1FBE"/>
    <w:multiLevelType w:val="hybridMultilevel"/>
    <w:tmpl w:val="5908E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005"/>
    <w:rsid w:val="00061CE9"/>
    <w:rsid w:val="000677FC"/>
    <w:rsid w:val="000F5982"/>
    <w:rsid w:val="0015328D"/>
    <w:rsid w:val="001708D3"/>
    <w:rsid w:val="001C5FB2"/>
    <w:rsid w:val="001F5477"/>
    <w:rsid w:val="002A00F3"/>
    <w:rsid w:val="00384587"/>
    <w:rsid w:val="00397377"/>
    <w:rsid w:val="0040691D"/>
    <w:rsid w:val="00407156"/>
    <w:rsid w:val="0041435F"/>
    <w:rsid w:val="00460077"/>
    <w:rsid w:val="004908E0"/>
    <w:rsid w:val="004F3947"/>
    <w:rsid w:val="0055526E"/>
    <w:rsid w:val="005B3BE9"/>
    <w:rsid w:val="0061208B"/>
    <w:rsid w:val="006129A4"/>
    <w:rsid w:val="006907A0"/>
    <w:rsid w:val="006D057D"/>
    <w:rsid w:val="00747005"/>
    <w:rsid w:val="007725F3"/>
    <w:rsid w:val="007E1037"/>
    <w:rsid w:val="008361BD"/>
    <w:rsid w:val="0087669E"/>
    <w:rsid w:val="008C1825"/>
    <w:rsid w:val="008F57AB"/>
    <w:rsid w:val="009A382E"/>
    <w:rsid w:val="009D0680"/>
    <w:rsid w:val="00A055E8"/>
    <w:rsid w:val="00A34871"/>
    <w:rsid w:val="00A366D5"/>
    <w:rsid w:val="00A439E3"/>
    <w:rsid w:val="00A636A5"/>
    <w:rsid w:val="00AA2099"/>
    <w:rsid w:val="00AE6078"/>
    <w:rsid w:val="00B25C34"/>
    <w:rsid w:val="00B36883"/>
    <w:rsid w:val="00B503E5"/>
    <w:rsid w:val="00B51202"/>
    <w:rsid w:val="00C04912"/>
    <w:rsid w:val="00C07AC8"/>
    <w:rsid w:val="00C61365"/>
    <w:rsid w:val="00C905EA"/>
    <w:rsid w:val="00C94FE9"/>
    <w:rsid w:val="00D85F73"/>
    <w:rsid w:val="00E30737"/>
    <w:rsid w:val="00E921E4"/>
    <w:rsid w:val="00E9275A"/>
    <w:rsid w:val="00F11121"/>
    <w:rsid w:val="00F41277"/>
    <w:rsid w:val="00F950ED"/>
    <w:rsid w:val="00FE4377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47005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700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74700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4">
    <w:name w:val="List Paragraph"/>
    <w:basedOn w:val="a"/>
    <w:uiPriority w:val="34"/>
    <w:qFormat/>
    <w:rsid w:val="00AA20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07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7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503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0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503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03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D3E90-8C8C-4681-8938-F290A2A2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ADMIN</cp:lastModifiedBy>
  <cp:revision>36</cp:revision>
  <cp:lastPrinted>2022-01-19T08:48:00Z</cp:lastPrinted>
  <dcterms:created xsi:type="dcterms:W3CDTF">2019-10-23T05:52:00Z</dcterms:created>
  <dcterms:modified xsi:type="dcterms:W3CDTF">2023-04-07T10:40:00Z</dcterms:modified>
</cp:coreProperties>
</file>