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-464820</wp:posOffset>
            </wp:positionV>
            <wp:extent cx="720090" cy="864235"/>
            <wp:effectExtent l="1905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005" w:rsidRPr="00CF5AA7" w:rsidRDefault="00747005" w:rsidP="00747005">
      <w:pPr>
        <w:autoSpaceDE w:val="0"/>
        <w:autoSpaceDN w:val="0"/>
        <w:adjustRightInd w:val="0"/>
        <w:ind w:firstLine="720"/>
        <w:jc w:val="both"/>
      </w:pPr>
    </w:p>
    <w:tbl>
      <w:tblPr>
        <w:tblpPr w:leftFromText="180" w:rightFromText="180" w:vertAnchor="page" w:horzAnchor="margin" w:tblpY="2341"/>
        <w:tblW w:w="9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747005" w:rsidRPr="00CF5AA7" w:rsidTr="007A60D8">
        <w:trPr>
          <w:trHeight w:val="19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28"/>
              </w:rPr>
            </w:pPr>
          </w:p>
        </w:tc>
      </w:tr>
      <w:tr w:rsidR="00747005" w:rsidRPr="00CF5AA7" w:rsidTr="007A60D8">
        <w:trPr>
          <w:trHeight w:val="224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АДМИНИСТРАЦИЯ БЕССОНОВСКОГО РАЙОНА</w:t>
            </w:r>
          </w:p>
        </w:tc>
      </w:tr>
      <w:tr w:rsidR="00747005" w:rsidRPr="00CF5AA7" w:rsidTr="007A60D8">
        <w:trPr>
          <w:trHeight w:val="21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747005" w:rsidRPr="00CF5AA7" w:rsidTr="007A60D8">
        <w:trPr>
          <w:trHeight w:val="248"/>
        </w:trPr>
        <w:tc>
          <w:tcPr>
            <w:tcW w:w="9576" w:type="dxa"/>
          </w:tcPr>
          <w:p w:rsidR="00747005" w:rsidRPr="00CF5AA7" w:rsidRDefault="00747005" w:rsidP="007A60D8">
            <w:pPr>
              <w:pStyle w:val="3"/>
            </w:pP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p w:rsidR="00747005" w:rsidRPr="00CF5AA7" w:rsidRDefault="00747005" w:rsidP="007A60D8">
            <w:pPr>
              <w:pStyle w:val="3"/>
              <w:rPr>
                <w:sz w:val="32"/>
                <w:szCs w:val="32"/>
              </w:rPr>
            </w:pPr>
            <w:r w:rsidRPr="00CF5AA7">
              <w:rPr>
                <w:sz w:val="32"/>
                <w:szCs w:val="32"/>
              </w:rPr>
              <w:t>ПОСТАНОВЛЕНИЕ</w:t>
            </w: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826"/>
              <w:gridCol w:w="396"/>
              <w:gridCol w:w="1131"/>
            </w:tblGrid>
            <w:tr w:rsidR="00747005" w:rsidRPr="00CF5AA7" w:rsidTr="007A60D8">
              <w:trPr>
                <w:trHeight w:val="152"/>
              </w:trPr>
              <w:tc>
                <w:tcPr>
                  <w:tcW w:w="283" w:type="dxa"/>
                  <w:vAlign w:val="bottom"/>
                </w:tcPr>
                <w:p w:rsidR="00747005" w:rsidRPr="00CF5AA7" w:rsidRDefault="00747005" w:rsidP="007A60D8">
                  <w:r w:rsidRPr="00CF5AA7">
                    <w:t>от</w:t>
                  </w:r>
                </w:p>
              </w:tc>
              <w:tc>
                <w:tcPr>
                  <w:tcW w:w="282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057C43" w:rsidP="007A60D8">
                  <w:pPr>
                    <w:jc w:val="center"/>
                  </w:pPr>
                  <w:r>
                    <w:t>года</w:t>
                  </w:r>
                </w:p>
              </w:tc>
              <w:tc>
                <w:tcPr>
                  <w:tcW w:w="396" w:type="dxa"/>
                  <w:vAlign w:val="bottom"/>
                </w:tcPr>
                <w:p w:rsidR="00747005" w:rsidRPr="00CF5AA7" w:rsidRDefault="00747005" w:rsidP="007A60D8">
                  <w:pPr>
                    <w:jc w:val="center"/>
                  </w:pPr>
                  <w:r w:rsidRPr="00CF5AA7">
                    <w:t>№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747005" w:rsidP="000677FC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  <w:tr w:rsidR="00747005" w:rsidRPr="00CF5AA7" w:rsidTr="007A60D8">
              <w:trPr>
                <w:trHeight w:val="208"/>
              </w:trPr>
              <w:tc>
                <w:tcPr>
                  <w:tcW w:w="4636" w:type="dxa"/>
                  <w:gridSpan w:val="4"/>
                </w:tcPr>
                <w:p w:rsidR="00747005" w:rsidRPr="00CF5AA7" w:rsidRDefault="00747005" w:rsidP="007A60D8">
                  <w:pPr>
                    <w:jc w:val="center"/>
                    <w:rPr>
                      <w:sz w:val="10"/>
                    </w:rPr>
                  </w:pPr>
                </w:p>
                <w:p w:rsidR="00747005" w:rsidRPr="00CF5AA7" w:rsidRDefault="00747005" w:rsidP="007A60D8">
                  <w:pPr>
                    <w:jc w:val="center"/>
                  </w:pPr>
                  <w:proofErr w:type="gramStart"/>
                  <w:r w:rsidRPr="00CF5AA7">
                    <w:t>с</w:t>
                  </w:r>
                  <w:proofErr w:type="gramEnd"/>
                  <w:r w:rsidRPr="00CF5AA7">
                    <w:t>. Бессоновка</w:t>
                  </w:r>
                </w:p>
              </w:tc>
            </w:tr>
          </w:tbl>
          <w:p w:rsidR="00747005" w:rsidRPr="00CF5AA7" w:rsidRDefault="00747005" w:rsidP="007A60D8">
            <w:pPr>
              <w:pStyle w:val="3"/>
              <w:rPr>
                <w:sz w:val="28"/>
                <w:szCs w:val="28"/>
              </w:rPr>
            </w:pPr>
          </w:p>
          <w:p w:rsidR="00747005" w:rsidRPr="00CF5AA7" w:rsidRDefault="00747005" w:rsidP="007A60D8"/>
          <w:p w:rsidR="00747005" w:rsidRPr="00CF5AA7" w:rsidRDefault="00747005" w:rsidP="007A60D8"/>
        </w:tc>
      </w:tr>
    </w:tbl>
    <w:p w:rsidR="00747005" w:rsidRDefault="006907A0" w:rsidP="006907A0">
      <w:pPr>
        <w:jc w:val="center"/>
        <w:rPr>
          <w:b/>
          <w:sz w:val="28"/>
          <w:szCs w:val="28"/>
        </w:rPr>
      </w:pPr>
      <w:r w:rsidRPr="00CB0080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 </w:t>
      </w:r>
      <w:r w:rsidRPr="00D85CD0">
        <w:rPr>
          <w:b/>
          <w:sz w:val="28"/>
          <w:szCs w:val="28"/>
        </w:rPr>
        <w:t>Правила землепользо</w:t>
      </w:r>
      <w:r>
        <w:rPr>
          <w:b/>
          <w:sz w:val="28"/>
          <w:szCs w:val="28"/>
        </w:rPr>
        <w:t>вания и застройки Бессоновского</w:t>
      </w:r>
      <w:r w:rsidRPr="00D85CD0">
        <w:rPr>
          <w:b/>
          <w:sz w:val="28"/>
          <w:szCs w:val="28"/>
        </w:rPr>
        <w:t xml:space="preserve"> сельсовета Бессоновского района Пензенской области, утвержденные решением Собрания представителей Бессоновского района Пензенской области тр</w:t>
      </w:r>
      <w:r>
        <w:rPr>
          <w:b/>
          <w:sz w:val="28"/>
          <w:szCs w:val="28"/>
        </w:rPr>
        <w:t>етьего созыва от 28.12.2015 №463</w:t>
      </w:r>
      <w:r w:rsidRPr="00D85CD0">
        <w:rPr>
          <w:b/>
          <w:sz w:val="28"/>
          <w:szCs w:val="28"/>
        </w:rPr>
        <w:t>-61/3</w:t>
      </w:r>
    </w:p>
    <w:p w:rsidR="006907A0" w:rsidRDefault="006907A0" w:rsidP="006907A0">
      <w:pPr>
        <w:jc w:val="center"/>
      </w:pPr>
    </w:p>
    <w:p w:rsidR="00747005" w:rsidRPr="006907A0" w:rsidRDefault="006907A0" w:rsidP="006907A0">
      <w:pPr>
        <w:jc w:val="both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На основании заявления от </w:t>
      </w:r>
      <w:r w:rsidR="00B36883">
        <w:rPr>
          <w:sz w:val="28"/>
          <w:szCs w:val="28"/>
        </w:rPr>
        <w:t>ООО «Монако»</w:t>
      </w:r>
      <w:r>
        <w:rPr>
          <w:sz w:val="28"/>
          <w:szCs w:val="28"/>
        </w:rPr>
        <w:t xml:space="preserve"> №</w:t>
      </w:r>
      <w:r w:rsidR="00B36883">
        <w:rPr>
          <w:sz w:val="28"/>
          <w:szCs w:val="28"/>
        </w:rPr>
        <w:t>1049</w:t>
      </w:r>
      <w:r>
        <w:rPr>
          <w:sz w:val="28"/>
          <w:szCs w:val="28"/>
        </w:rPr>
        <w:t xml:space="preserve"> от </w:t>
      </w:r>
      <w:r w:rsidR="00B36883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B36883">
        <w:rPr>
          <w:sz w:val="28"/>
          <w:szCs w:val="28"/>
        </w:rPr>
        <w:t>12</w:t>
      </w:r>
      <w:r>
        <w:rPr>
          <w:sz w:val="28"/>
          <w:szCs w:val="28"/>
        </w:rPr>
        <w:t>.2021, постановления администрации Бессоновского района Пензенской области №</w:t>
      </w:r>
      <w:r w:rsidR="00B36883">
        <w:rPr>
          <w:sz w:val="28"/>
          <w:szCs w:val="28"/>
        </w:rPr>
        <w:t>1185</w:t>
      </w:r>
      <w:r>
        <w:rPr>
          <w:sz w:val="28"/>
          <w:szCs w:val="28"/>
        </w:rPr>
        <w:t xml:space="preserve"> от </w:t>
      </w:r>
      <w:r w:rsidR="00B36883">
        <w:rPr>
          <w:sz w:val="28"/>
          <w:szCs w:val="28"/>
        </w:rPr>
        <w:t>21</w:t>
      </w:r>
      <w:r>
        <w:rPr>
          <w:sz w:val="28"/>
          <w:szCs w:val="28"/>
        </w:rPr>
        <w:t>.1</w:t>
      </w:r>
      <w:r w:rsidR="00B36883">
        <w:rPr>
          <w:sz w:val="28"/>
          <w:szCs w:val="28"/>
        </w:rPr>
        <w:t>2</w:t>
      </w:r>
      <w:r>
        <w:rPr>
          <w:sz w:val="28"/>
          <w:szCs w:val="28"/>
        </w:rPr>
        <w:t xml:space="preserve">.2021 </w:t>
      </w:r>
      <w:r w:rsidRPr="006907A0">
        <w:rPr>
          <w:sz w:val="28"/>
          <w:szCs w:val="28"/>
        </w:rPr>
        <w:t xml:space="preserve">«О подготовке проекта внесения изменений в Правила землепользования и застройки Бессоновского сельсовета Бессоновского района Пензенской области, утвержденные решением Собрания представителей Бессоновского района Пензенской области третьего созыва от 28.12.2015 №463-61/3», </w:t>
      </w:r>
      <w:r>
        <w:rPr>
          <w:sz w:val="28"/>
          <w:szCs w:val="28"/>
        </w:rPr>
        <w:t xml:space="preserve">протокола проведения публичных слушаний в с. Бессоновка от </w:t>
      </w:r>
      <w:r w:rsidR="00B36883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B36883">
        <w:rPr>
          <w:sz w:val="28"/>
          <w:szCs w:val="28"/>
        </w:rPr>
        <w:t>0</w:t>
      </w:r>
      <w:r>
        <w:rPr>
          <w:sz w:val="28"/>
          <w:szCs w:val="28"/>
        </w:rPr>
        <w:t>1.202</w:t>
      </w:r>
      <w:r w:rsidR="00B36883">
        <w:rPr>
          <w:sz w:val="28"/>
          <w:szCs w:val="28"/>
        </w:rPr>
        <w:t>2</w:t>
      </w:r>
      <w:r>
        <w:rPr>
          <w:sz w:val="28"/>
          <w:szCs w:val="28"/>
        </w:rPr>
        <w:t>, в</w:t>
      </w:r>
      <w:r w:rsidRPr="00CB0080">
        <w:rPr>
          <w:sz w:val="28"/>
          <w:szCs w:val="28"/>
        </w:rPr>
        <w:t xml:space="preserve"> соответствии с</w:t>
      </w:r>
      <w:proofErr w:type="gramEnd"/>
      <w:r w:rsidRPr="00CB0080">
        <w:rPr>
          <w:sz w:val="28"/>
          <w:szCs w:val="28"/>
        </w:rPr>
        <w:t xml:space="preserve"> Федеральным з</w:t>
      </w:r>
      <w:r>
        <w:rPr>
          <w:sz w:val="28"/>
          <w:szCs w:val="28"/>
        </w:rPr>
        <w:t>аконом от 06.10.2003 №131-</w:t>
      </w:r>
      <w:r w:rsidRPr="00CB0080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администрация Бессоновского района Пензенской области </w:t>
      </w:r>
      <w:r w:rsidRPr="006907A0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747005" w:rsidRDefault="00747005" w:rsidP="00747005">
      <w:pPr>
        <w:jc w:val="both"/>
        <w:rPr>
          <w:sz w:val="28"/>
          <w:szCs w:val="28"/>
        </w:rPr>
      </w:pPr>
    </w:p>
    <w:p w:rsidR="00AA2099" w:rsidRDefault="00C61365" w:rsidP="00AA20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AA2099">
        <w:rPr>
          <w:sz w:val="28"/>
          <w:szCs w:val="28"/>
        </w:rPr>
        <w:t xml:space="preserve"> 1. </w:t>
      </w:r>
      <w:r w:rsidR="006907A0" w:rsidRPr="00CB0080">
        <w:rPr>
          <w:color w:val="000000"/>
          <w:sz w:val="28"/>
          <w:szCs w:val="28"/>
          <w:lang w:val="x-none" w:eastAsia="x-none"/>
        </w:rPr>
        <w:t xml:space="preserve">Внести изменения </w:t>
      </w:r>
      <w:r w:rsidR="006907A0" w:rsidRPr="00D85CD0">
        <w:rPr>
          <w:sz w:val="28"/>
          <w:szCs w:val="28"/>
        </w:rPr>
        <w:t>в Правила землепользо</w:t>
      </w:r>
      <w:r w:rsidR="006907A0">
        <w:rPr>
          <w:sz w:val="28"/>
          <w:szCs w:val="28"/>
        </w:rPr>
        <w:t>вания и застройки Бессоновского</w:t>
      </w:r>
      <w:r w:rsidR="006907A0" w:rsidRPr="00D85CD0">
        <w:rPr>
          <w:sz w:val="28"/>
          <w:szCs w:val="28"/>
        </w:rPr>
        <w:t xml:space="preserve"> сельсовета Бессоновского района Пензенской области, утвержденные решением Собрания представителей Бессоновского района Пензенской области третьего созыва от 28.12.2</w:t>
      </w:r>
      <w:r w:rsidR="006907A0">
        <w:rPr>
          <w:sz w:val="28"/>
          <w:szCs w:val="28"/>
        </w:rPr>
        <w:t>015 №463</w:t>
      </w:r>
      <w:r w:rsidR="006907A0" w:rsidRPr="00D85CD0">
        <w:rPr>
          <w:sz w:val="28"/>
          <w:szCs w:val="28"/>
        </w:rPr>
        <w:t>-61/3, в  градостроительный регламент, установленный для конкретной территориальной зоны</w:t>
      </w:r>
      <w:r w:rsidR="006907A0">
        <w:rPr>
          <w:sz w:val="28"/>
          <w:szCs w:val="28"/>
        </w:rPr>
        <w:t xml:space="preserve">, </w:t>
      </w:r>
      <w:r w:rsidR="006907A0" w:rsidRPr="00CB0080">
        <w:rPr>
          <w:sz w:val="28"/>
          <w:szCs w:val="28"/>
          <w:lang w:val="x-none" w:eastAsia="x-none"/>
        </w:rPr>
        <w:t>соглас</w:t>
      </w:r>
      <w:r w:rsidR="006907A0">
        <w:rPr>
          <w:sz w:val="28"/>
          <w:szCs w:val="28"/>
          <w:lang w:val="x-none" w:eastAsia="x-none"/>
        </w:rPr>
        <w:t>но приложению.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</w:t>
      </w:r>
      <w:r w:rsidR="006907A0" w:rsidRPr="00CB0080">
        <w:rPr>
          <w:sz w:val="28"/>
          <w:szCs w:val="28"/>
        </w:rPr>
        <w:t xml:space="preserve">Опубликовать настоящее </w:t>
      </w:r>
      <w:r w:rsidR="0040691D">
        <w:rPr>
          <w:sz w:val="28"/>
          <w:szCs w:val="28"/>
        </w:rPr>
        <w:t>постановление</w:t>
      </w:r>
      <w:r w:rsidR="006907A0" w:rsidRPr="00CB0080">
        <w:rPr>
          <w:sz w:val="28"/>
          <w:szCs w:val="28"/>
        </w:rPr>
        <w:t xml:space="preserve"> в официальном 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6907A0" w:rsidRDefault="00AA2099" w:rsidP="006907A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40691D">
        <w:rPr>
          <w:color w:val="000000"/>
          <w:sz w:val="28"/>
          <w:szCs w:val="28"/>
        </w:rPr>
        <w:t> Постановление</w:t>
      </w:r>
      <w:r w:rsidR="006907A0">
        <w:rPr>
          <w:color w:val="000000"/>
          <w:sz w:val="28"/>
          <w:szCs w:val="28"/>
        </w:rPr>
        <w:t xml:space="preserve"> вступает в силу</w:t>
      </w:r>
      <w:r w:rsidR="006907A0" w:rsidRPr="006907A0">
        <w:rPr>
          <w:sz w:val="28"/>
          <w:szCs w:val="28"/>
        </w:rPr>
        <w:t xml:space="preserve"> </w:t>
      </w:r>
      <w:r w:rsidR="006907A0" w:rsidRPr="0056754F">
        <w:rPr>
          <w:sz w:val="28"/>
          <w:szCs w:val="28"/>
        </w:rPr>
        <w:t>на следующий день после дня его официального опубликования.</w:t>
      </w:r>
    </w:p>
    <w:p w:rsidR="00747005" w:rsidRDefault="00AA2099" w:rsidP="00747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07A0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proofErr w:type="gramStart"/>
      <w:r w:rsidR="006907A0" w:rsidRPr="00A00458">
        <w:rPr>
          <w:sz w:val="28"/>
          <w:szCs w:val="28"/>
        </w:rPr>
        <w:t>Контроль за</w:t>
      </w:r>
      <w:proofErr w:type="gramEnd"/>
      <w:r w:rsidR="006907A0" w:rsidRPr="00A00458">
        <w:rPr>
          <w:sz w:val="28"/>
          <w:szCs w:val="28"/>
        </w:rPr>
        <w:t xml:space="preserve"> исполнением настоящего </w:t>
      </w:r>
      <w:r w:rsidR="0040691D">
        <w:rPr>
          <w:sz w:val="28"/>
          <w:szCs w:val="28"/>
        </w:rPr>
        <w:t>постановления</w:t>
      </w:r>
      <w:r w:rsidR="006907A0" w:rsidRPr="00A00458">
        <w:rPr>
          <w:sz w:val="28"/>
          <w:szCs w:val="28"/>
        </w:rPr>
        <w:t xml:space="preserve"> возложить на главу  администрации Бессоновского района Пензенской области.</w:t>
      </w:r>
    </w:p>
    <w:p w:rsidR="006907A0" w:rsidRDefault="006907A0" w:rsidP="00747005">
      <w:pPr>
        <w:jc w:val="both"/>
        <w:rPr>
          <w:spacing w:val="-4"/>
          <w:sz w:val="28"/>
          <w:szCs w:val="28"/>
        </w:rPr>
      </w:pPr>
    </w:p>
    <w:p w:rsidR="0041435F" w:rsidRDefault="0041435F" w:rsidP="00747005">
      <w:pPr>
        <w:jc w:val="both"/>
        <w:rPr>
          <w:spacing w:val="-4"/>
          <w:sz w:val="28"/>
          <w:szCs w:val="28"/>
        </w:rPr>
      </w:pPr>
    </w:p>
    <w:p w:rsidR="00747005" w:rsidRDefault="00C61365" w:rsidP="007470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41435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47005">
        <w:rPr>
          <w:sz w:val="28"/>
          <w:szCs w:val="28"/>
        </w:rPr>
        <w:t xml:space="preserve"> администрации района </w:t>
      </w:r>
      <w:r w:rsidR="00A636A5">
        <w:rPr>
          <w:sz w:val="28"/>
          <w:szCs w:val="28"/>
        </w:rPr>
        <w:t xml:space="preserve"> </w:t>
      </w:r>
      <w:r w:rsidR="008C1825">
        <w:rPr>
          <w:sz w:val="28"/>
          <w:szCs w:val="28"/>
        </w:rPr>
        <w:t xml:space="preserve">  </w:t>
      </w:r>
      <w:r w:rsidR="00C94FE9">
        <w:rPr>
          <w:sz w:val="28"/>
          <w:szCs w:val="28"/>
        </w:rPr>
        <w:t xml:space="preserve">  </w:t>
      </w:r>
      <w:r w:rsidR="00F41277">
        <w:rPr>
          <w:sz w:val="28"/>
          <w:szCs w:val="28"/>
        </w:rPr>
        <w:t xml:space="preserve">  </w:t>
      </w:r>
      <w:r w:rsidR="00E92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Карагодин</w:t>
      </w:r>
      <w:proofErr w:type="spellEnd"/>
    </w:p>
    <w:p w:rsidR="00B36883" w:rsidRDefault="00B36883" w:rsidP="00B36883">
      <w:pPr>
        <w:keepNext/>
        <w:keepLines/>
        <w:spacing w:after="360"/>
        <w:jc w:val="right"/>
        <w:outlineLvl w:val="1"/>
        <w:rPr>
          <w:b/>
        </w:rPr>
      </w:pPr>
      <w:r>
        <w:rPr>
          <w:bCs/>
          <w:sz w:val="20"/>
          <w:szCs w:val="20"/>
        </w:rPr>
        <w:lastRenderedPageBreak/>
        <w:t xml:space="preserve"> </w:t>
      </w:r>
      <w:r w:rsidR="006907A0" w:rsidRPr="006907A0">
        <w:rPr>
          <w:bCs/>
          <w:sz w:val="20"/>
          <w:szCs w:val="20"/>
        </w:rPr>
        <w:t>Приложение</w:t>
      </w:r>
      <w:bookmarkStart w:id="1" w:name="_Toc27654965"/>
      <w:bookmarkStart w:id="2" w:name="_Toc27567942"/>
      <w:bookmarkStart w:id="3" w:name="_Toc27567818"/>
      <w:r w:rsidRPr="00B36883">
        <w:rPr>
          <w:b/>
        </w:rPr>
        <w:t xml:space="preserve"> </w:t>
      </w:r>
      <w:bookmarkEnd w:id="1"/>
      <w:bookmarkEnd w:id="2"/>
      <w:bookmarkEnd w:id="3"/>
    </w:p>
    <w:p w:rsidR="00E921E4" w:rsidRDefault="00E921E4" w:rsidP="00E921E4">
      <w:pPr>
        <w:keepNext/>
        <w:keepLines/>
        <w:spacing w:after="360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Статья 14. Градостроительный регламент. П-4 Зона производственной деятельности IV класса опасности</w:t>
      </w:r>
    </w:p>
    <w:p w:rsidR="00E921E4" w:rsidRDefault="00E921E4" w:rsidP="00E921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Зона выделена для создания правовых условий формирования территорий для размещения объектов капитального строительства в целях добычи недр, их переработки, изготовления вещей промышленным способом.</w:t>
      </w:r>
    </w:p>
    <w:p w:rsidR="00E921E4" w:rsidRDefault="00E921E4" w:rsidP="00E921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 Класс опасности для объектов капитального строительства, размещенных и размещаемых в территориальной зоне, определяется в соответствии с СанПиНом 2.2.1/2.1.1.1200-03 «Санитарно-защитные зоны и санитарная классификация предприятий, сооружений и иных объектов» (в действующей редакции документа), если иное не установлено проектом санитарно-защитной зоны объекта.</w:t>
      </w:r>
    </w:p>
    <w:p w:rsidR="00E921E4" w:rsidRDefault="00E921E4" w:rsidP="00E921E4">
      <w:pPr>
        <w:rPr>
          <w:b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8747"/>
      </w:tblGrid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Основные виды разрешенного использования земельных участков.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Предоставление коммунальных услуг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Недропользование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6.2.1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Автомобилестроительная промышленность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Легкая промышленность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6.3.1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Фармацевтическая промышленность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Пищевая промышленность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Нефтехимическая промышленность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Строительная промышленность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Энергетика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Связь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Склады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6.9.1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Складские площадки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6.11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Целлюлозно-бумажная промышленность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Научно-производственная деятельность</w:t>
            </w:r>
          </w:p>
        </w:tc>
      </w:tr>
      <w:tr w:rsidR="00E921E4" w:rsidTr="00E921E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12.0.1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Улично-дорожная сеть</w:t>
            </w:r>
          </w:p>
        </w:tc>
      </w:tr>
      <w:tr w:rsidR="00E921E4" w:rsidTr="00E921E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12.0.2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1E4" w:rsidRDefault="00E921E4">
            <w:pPr>
              <w:autoSpaceDE w:val="0"/>
              <w:autoSpaceDN w:val="0"/>
              <w:adjustRightInd w:val="0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Благоустройство территории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E921E4" w:rsidRDefault="00E921E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Вспомогательные виды разрешённого использования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3.4.1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научной деятельности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Деловое управление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Общественное питание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E921E4" w:rsidRDefault="00E921E4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Условно разрешенные виды разрешённого использования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2.7.1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Хранение автотранспорта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Магазины</w:t>
            </w:r>
          </w:p>
        </w:tc>
      </w:tr>
      <w:tr w:rsidR="00E921E4" w:rsidTr="00E921E4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yellow"/>
              </w:rPr>
              <w:t>4.9.1.2</w:t>
            </w:r>
          </w:p>
        </w:tc>
        <w:tc>
          <w:tcPr>
            <w:tcW w:w="8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1E4" w:rsidRDefault="00E921E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yellow"/>
              </w:rPr>
              <w:t>Обеспечение дорожного отдыха</w:t>
            </w:r>
          </w:p>
        </w:tc>
      </w:tr>
    </w:tbl>
    <w:p w:rsidR="00E921E4" w:rsidRDefault="00E921E4" w:rsidP="00E921E4">
      <w:pPr>
        <w:rPr>
          <w:b/>
          <w:sz w:val="20"/>
          <w:szCs w:val="20"/>
          <w:u w:val="single"/>
          <w:lang w:eastAsia="en-US"/>
        </w:rPr>
      </w:pPr>
    </w:p>
    <w:p w:rsidR="00E921E4" w:rsidRDefault="00E921E4" w:rsidP="00E921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Предельные (минимальные и (или) максимальные) размеры земельных участков, в том числе их площадь: размеры земельных участков не подлежат установлению; минимальная площадь земельных участков – 1600 м²; максимальная площадь земельных участков – 100 га.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>
        <w:rPr>
          <w:sz w:val="20"/>
          <w:szCs w:val="20"/>
        </w:rPr>
        <w:t xml:space="preserve"> – 5 м для строений, размещенных вдоль красных линий, улиц, дорог, и 3 м вдоль красных линий, проездов и по другим сторонам земельного участка.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Предельное количество этажей зданий, строений, сооружений – 5, предельная высота зданий, строений, сооружений – 50 м.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Максимальный процент застройки в границах земельного участка – 75%.</w:t>
      </w:r>
    </w:p>
    <w:p w:rsidR="00E921E4" w:rsidRDefault="00E921E4" w:rsidP="00E921E4">
      <w:pPr>
        <w:jc w:val="both"/>
        <w:rPr>
          <w:b/>
          <w:sz w:val="20"/>
          <w:szCs w:val="20"/>
        </w:rPr>
      </w:pPr>
    </w:p>
    <w:p w:rsidR="00E921E4" w:rsidRDefault="00E921E4" w:rsidP="00E921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вида разрешенного использования с кодом 3.1.1: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Предельные (минимальные и (или) максимальные) размеры земельных участков, в том числе их площадь: размеры земельных участков не подлежат установлению; минимальная площадь земельных участков – 0,05 м</w:t>
      </w:r>
      <w:proofErr w:type="gramStart"/>
      <w:r>
        <w:rPr>
          <w:sz w:val="20"/>
          <w:szCs w:val="20"/>
          <w:vertAlign w:val="superscript"/>
        </w:rPr>
        <w:t>2</w:t>
      </w:r>
      <w:proofErr w:type="gramEnd"/>
      <w:r>
        <w:rPr>
          <w:sz w:val="20"/>
          <w:szCs w:val="20"/>
        </w:rPr>
        <w:t>; максимальная площадь земельных участков – 2000 м².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>
        <w:rPr>
          <w:sz w:val="20"/>
          <w:szCs w:val="20"/>
        </w:rPr>
        <w:t xml:space="preserve"> – 0 м. 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Предельное количество этажей зданий, строений, сооружений – 1, предельная высота зданий, строений, сооружений – 40 м.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Максимальный процент застройки в границах земельного участка – 100 %.</w:t>
      </w:r>
    </w:p>
    <w:p w:rsidR="00E921E4" w:rsidRDefault="00E921E4" w:rsidP="00E921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видов разрешенного использования с кодом 4.4.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Предельные (минимальные и (или) максимальные) размеры земельных участков, в том числе их площадь: размеры земельных участков не подлежат установлению; минимальная площадь земельных участков – 300 м²; максимальная площадь земельных участков – 2000 м².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>
        <w:rPr>
          <w:sz w:val="20"/>
          <w:szCs w:val="20"/>
        </w:rPr>
        <w:t xml:space="preserve"> – 5 м для строений, размещенных вдоль красных линий, улиц, дорог, и 3 м вдоль красных линий, проездов и по другим сторонам земельного участка.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Максимальный процент застройки в границах земельного участка – 60%. 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Предельное количество этажей зданий, строений, сооружений – 2, предельная высота зданий, строений, сооружений – 10 м.</w:t>
      </w:r>
    </w:p>
    <w:p w:rsidR="00E921E4" w:rsidRDefault="00E921E4" w:rsidP="00E921E4">
      <w:pPr>
        <w:widowControl w:val="0"/>
        <w:numPr>
          <w:ilvl w:val="0"/>
          <w:numId w:val="5"/>
        </w:numPr>
        <w:ind w:left="0" w:firstLine="709"/>
        <w:jc w:val="both"/>
        <w:rPr>
          <w:sz w:val="20"/>
          <w:szCs w:val="20"/>
        </w:rPr>
      </w:pPr>
    </w:p>
    <w:p w:rsidR="00E921E4" w:rsidRDefault="00E921E4" w:rsidP="00E921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proofErr w:type="gramStart"/>
      <w:r>
        <w:rPr>
          <w:b/>
          <w:sz w:val="20"/>
          <w:szCs w:val="20"/>
        </w:rPr>
        <w:t xml:space="preserve">В границах территориальной зоны имеются ограничения использования земельных участков и объектов капитального строительства, установленные в соответствии с законодательством Российской Федерации: санитарно-защитные зоны, </w:t>
      </w:r>
      <w:proofErr w:type="spellStart"/>
      <w:r>
        <w:rPr>
          <w:b/>
          <w:sz w:val="20"/>
          <w:szCs w:val="20"/>
        </w:rPr>
        <w:t>водоохранные</w:t>
      </w:r>
      <w:proofErr w:type="spellEnd"/>
      <w:r>
        <w:rPr>
          <w:b/>
          <w:sz w:val="20"/>
          <w:szCs w:val="20"/>
        </w:rPr>
        <w:t xml:space="preserve"> зоны, прибрежные защитные полосы, зоны санитарной охраны источников водоснабжения,  охранные зоны электросетевого хозяйства, охранные зоны трубопроводов, защитные зоны объектов культурного наследия, охранные зоны газораспределительных сетей, придорожные полосы автомобильных дорог, </w:t>
      </w:r>
      <w:proofErr w:type="spellStart"/>
      <w:r>
        <w:rPr>
          <w:b/>
          <w:sz w:val="20"/>
          <w:szCs w:val="20"/>
        </w:rPr>
        <w:t>приаэродромная</w:t>
      </w:r>
      <w:proofErr w:type="spellEnd"/>
      <w:r>
        <w:rPr>
          <w:b/>
          <w:sz w:val="20"/>
          <w:szCs w:val="20"/>
        </w:rPr>
        <w:t xml:space="preserve"> территория.</w:t>
      </w:r>
      <w:proofErr w:type="gramEnd"/>
    </w:p>
    <w:p w:rsidR="006907A0" w:rsidRPr="006907A0" w:rsidRDefault="006907A0" w:rsidP="006907A0">
      <w:pPr>
        <w:keepNext/>
        <w:keepLines/>
        <w:spacing w:before="400" w:after="300"/>
        <w:jc w:val="right"/>
        <w:outlineLvl w:val="1"/>
        <w:rPr>
          <w:bCs/>
          <w:sz w:val="20"/>
          <w:szCs w:val="20"/>
        </w:rPr>
      </w:pPr>
    </w:p>
    <w:sectPr w:rsidR="006907A0" w:rsidRPr="006907A0" w:rsidSect="00FA1261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20BB"/>
    <w:multiLevelType w:val="hybridMultilevel"/>
    <w:tmpl w:val="ACB0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6745D"/>
    <w:multiLevelType w:val="hybridMultilevel"/>
    <w:tmpl w:val="E4424082"/>
    <w:lvl w:ilvl="0" w:tplc="D6BC90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3E1FBE"/>
    <w:multiLevelType w:val="hybridMultilevel"/>
    <w:tmpl w:val="5908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005"/>
    <w:rsid w:val="00057C43"/>
    <w:rsid w:val="00061CE9"/>
    <w:rsid w:val="000677FC"/>
    <w:rsid w:val="000F5982"/>
    <w:rsid w:val="001708D3"/>
    <w:rsid w:val="001C5FB2"/>
    <w:rsid w:val="001F5477"/>
    <w:rsid w:val="002A00F3"/>
    <w:rsid w:val="00384587"/>
    <w:rsid w:val="00397377"/>
    <w:rsid w:val="0040691D"/>
    <w:rsid w:val="00407156"/>
    <w:rsid w:val="0041435F"/>
    <w:rsid w:val="004908E0"/>
    <w:rsid w:val="004F3947"/>
    <w:rsid w:val="0055526E"/>
    <w:rsid w:val="0061208B"/>
    <w:rsid w:val="006129A4"/>
    <w:rsid w:val="006907A0"/>
    <w:rsid w:val="00747005"/>
    <w:rsid w:val="007725F3"/>
    <w:rsid w:val="007E1037"/>
    <w:rsid w:val="0087669E"/>
    <w:rsid w:val="008B64DC"/>
    <w:rsid w:val="008C1825"/>
    <w:rsid w:val="008F57AB"/>
    <w:rsid w:val="009A382E"/>
    <w:rsid w:val="009D0680"/>
    <w:rsid w:val="00A055E8"/>
    <w:rsid w:val="00A34871"/>
    <w:rsid w:val="00A439E3"/>
    <w:rsid w:val="00A636A5"/>
    <w:rsid w:val="00AA2099"/>
    <w:rsid w:val="00AE6078"/>
    <w:rsid w:val="00B25C34"/>
    <w:rsid w:val="00B36883"/>
    <w:rsid w:val="00B51202"/>
    <w:rsid w:val="00C04912"/>
    <w:rsid w:val="00C07AC8"/>
    <w:rsid w:val="00C61365"/>
    <w:rsid w:val="00C905EA"/>
    <w:rsid w:val="00C94FE9"/>
    <w:rsid w:val="00D85F73"/>
    <w:rsid w:val="00E30737"/>
    <w:rsid w:val="00E921E4"/>
    <w:rsid w:val="00E9275A"/>
    <w:rsid w:val="00F41277"/>
    <w:rsid w:val="00F950ED"/>
    <w:rsid w:val="00FE4377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00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00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74700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List Paragraph"/>
    <w:basedOn w:val="a"/>
    <w:uiPriority w:val="34"/>
    <w:qFormat/>
    <w:rsid w:val="00AA20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7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7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7513-FCA4-478C-BF80-58CAFFEB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ADMIN</cp:lastModifiedBy>
  <cp:revision>33</cp:revision>
  <cp:lastPrinted>2022-01-18T11:43:00Z</cp:lastPrinted>
  <dcterms:created xsi:type="dcterms:W3CDTF">2019-10-23T05:52:00Z</dcterms:created>
  <dcterms:modified xsi:type="dcterms:W3CDTF">2023-04-07T10:40:00Z</dcterms:modified>
</cp:coreProperties>
</file>