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B4A" w:rsidRPr="00521B4A" w:rsidRDefault="00521B4A" w:rsidP="00521B4A">
      <w:pPr>
        <w:spacing w:after="0" w:line="321" w:lineRule="atLeast"/>
        <w:ind w:firstLine="708"/>
        <w:jc w:val="both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21B4A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В целях реализации положений статей 22, 25, 26 и 27 Федерального закона «Об основных гарантиях избирательных прав и права на участие в референдуме граждан Российской Федерации» №67-ФЗ,  Территориальная избирательная комиссия Бессоновского района информирует участников избирательного процесса о приеме предложений по кандидатурам в новые составы участковых избирательных комиссий.</w:t>
      </w:r>
    </w:p>
    <w:p w:rsidR="00521B4A" w:rsidRPr="00521B4A" w:rsidRDefault="00521B4A" w:rsidP="00521B4A">
      <w:pPr>
        <w:spacing w:before="150" w:after="0" w:line="321" w:lineRule="atLeast"/>
        <w:jc w:val="center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521B4A">
        <w:rPr>
          <w:rFonts w:ascii="clear_sans_lightregular" w:eastAsia="Times New Roman" w:hAnsi="clear_sans_lightregular" w:cs="Times New Roman"/>
          <w:b/>
          <w:bCs/>
          <w:color w:val="000000"/>
          <w:sz w:val="24"/>
          <w:szCs w:val="24"/>
          <w:lang w:eastAsia="ru-RU"/>
        </w:rPr>
        <w:t>Прием предложений осуществляется в сроки с 18.04.2023 года по 18.05.2023 года по адресу: Пензенская область, Бессоновский район, с.Бессоновка, ул.Коммунистическая, 2 в кабинете Территориальной избирательной комиссии ежедневно с 09.00 часов до 18.00 часов.   Суббота, воскресенье выходной.</w:t>
      </w:r>
    </w:p>
    <w:p w:rsidR="00521B4A" w:rsidRDefault="00521B4A" w:rsidP="00521B4A">
      <w:pPr>
        <w:spacing w:before="150" w:after="0" w:line="321" w:lineRule="atLeast"/>
        <w:jc w:val="both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521B4A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       В соответствии с постановлением Территориальной избирательной комиссии принято решение о следующем количественном составе новых участковых избирательных комиссий:</w:t>
      </w:r>
    </w:p>
    <w:p w:rsidR="00521B4A" w:rsidRPr="00521B4A" w:rsidRDefault="00521B4A" w:rsidP="00521B4A">
      <w:pPr>
        <w:spacing w:before="150" w:after="0" w:line="321" w:lineRule="atLeast"/>
        <w:jc w:val="both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</w:p>
    <w:p w:rsidR="00521B4A" w:rsidRPr="00521B4A" w:rsidRDefault="00521B4A" w:rsidP="00521B4A">
      <w:pPr>
        <w:spacing w:after="0" w:line="321" w:lineRule="atLeast"/>
        <w:rPr>
          <w:rFonts w:ascii="clear_sans_lightregular" w:eastAsia="Times New Roman" w:hAnsi="clear_sans_lightregular" w:cs="Times New Roman"/>
          <w:vanish/>
          <w:color w:val="000000"/>
          <w:sz w:val="24"/>
          <w:szCs w:val="24"/>
          <w:lang w:eastAsia="ru-RU"/>
        </w:rPr>
      </w:pPr>
    </w:p>
    <w:tbl>
      <w:tblPr>
        <w:tblW w:w="10005" w:type="dxa"/>
        <w:jc w:val="center"/>
        <w:tblInd w:w="3608" w:type="dxa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5"/>
        <w:gridCol w:w="2430"/>
        <w:gridCol w:w="6130"/>
      </w:tblGrid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ind w:left="303" w:hanging="303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Номер УИК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Количество членов участковых избирательных комиссий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7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9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12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12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11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14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12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11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12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7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9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9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11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9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11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9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7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12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12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7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7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9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9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7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5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12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9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9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9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5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12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12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12</w:t>
            </w:r>
          </w:p>
        </w:tc>
      </w:tr>
      <w:tr w:rsidR="00521B4A" w:rsidRPr="00521B4A" w:rsidTr="00521B4A">
        <w:trPr>
          <w:jc w:val="center"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613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1B4A" w:rsidRPr="00521B4A" w:rsidRDefault="00521B4A" w:rsidP="005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521B4A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9</w:t>
            </w:r>
          </w:p>
        </w:tc>
      </w:tr>
    </w:tbl>
    <w:p w:rsidR="00C14E51" w:rsidRDefault="00C14E51"/>
    <w:sectPr w:rsidR="00C1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D2"/>
    <w:rsid w:val="00521B4A"/>
    <w:rsid w:val="008167D2"/>
    <w:rsid w:val="00C1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3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</dc:creator>
  <cp:keywords/>
  <dc:description/>
  <cp:lastModifiedBy>grabovo</cp:lastModifiedBy>
  <cp:revision>2</cp:revision>
  <dcterms:created xsi:type="dcterms:W3CDTF">2023-04-18T04:36:00Z</dcterms:created>
  <dcterms:modified xsi:type="dcterms:W3CDTF">2023-04-18T04:37:00Z</dcterms:modified>
</cp:coreProperties>
</file>