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370568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right"/>
        <w:rPr>
          <w:rStyle w:val="C3"/>
          <w:b w:val="1"/>
          <w:sz w:val="32"/>
        </w:rPr>
      </w:pPr>
      <w:r>
        <w:rPr>
          <w:rStyle w:val="C3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page">
              <wp:posOffset>3488690</wp:posOffset>
            </wp:positionH>
            <wp:positionV relativeFrom="paragraph">
              <wp:posOffset>-108585</wp:posOffset>
            </wp:positionV>
            <wp:extent cx="733425" cy="914400"/>
            <wp:wrapNone/>
            <wp:docPr id="1" name="Рисунок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1"/>
        <w:jc w:val="center"/>
        <w:rPr>
          <w:rStyle w:val="C3"/>
          <w:b w:val="1"/>
          <w:sz w:val="32"/>
        </w:rPr>
      </w:pPr>
    </w:p>
    <w:p>
      <w:pPr>
        <w:pStyle w:val="P1"/>
        <w:jc w:val="center"/>
        <w:rPr>
          <w:rStyle w:val="C3"/>
          <w:b w:val="1"/>
          <w:sz w:val="32"/>
        </w:rPr>
      </w:pPr>
    </w:p>
    <w:p>
      <w:pPr>
        <w:pStyle w:val="P1"/>
        <w:jc w:val="center"/>
        <w:rPr>
          <w:rStyle w:val="C3"/>
          <w:b w:val="1"/>
          <w:sz w:val="32"/>
        </w:rPr>
      </w:pPr>
    </w:p>
    <w:p>
      <w:pPr>
        <w:pStyle w:val="P1"/>
        <w:jc w:val="center"/>
        <w:rPr>
          <w:rStyle w:val="C3"/>
          <w:b w:val="1"/>
          <w:sz w:val="32"/>
        </w:rPr>
      </w:pPr>
      <w:r>
        <w:rPr>
          <w:rStyle w:val="C3"/>
          <w:b w:val="1"/>
          <w:sz w:val="32"/>
        </w:rPr>
        <w:t xml:space="preserve">КОМИТЕТ МЕСТНОГО САМОУПРАВЛЕНИЯ СТЕПАНОВСКОГО  СЕЛЬСОВЕТА </w:t>
      </w:r>
    </w:p>
    <w:p>
      <w:pPr>
        <w:pStyle w:val="P1"/>
        <w:jc w:val="center"/>
        <w:rPr>
          <w:rStyle w:val="C3"/>
          <w:b w:val="1"/>
          <w:sz w:val="32"/>
        </w:rPr>
      </w:pPr>
      <w:r>
        <w:rPr>
          <w:rStyle w:val="C3"/>
          <w:b w:val="1"/>
          <w:sz w:val="32"/>
        </w:rPr>
        <w:t>БЕССОНОВСКОГО РАЙОНА</w:t>
      </w:r>
    </w:p>
    <w:p>
      <w:pPr>
        <w:pStyle w:val="P1"/>
        <w:jc w:val="center"/>
        <w:rPr>
          <w:rStyle w:val="C3"/>
          <w:b w:val="1"/>
          <w:sz w:val="32"/>
        </w:rPr>
      </w:pPr>
      <w:r>
        <w:rPr>
          <w:rStyle w:val="C3"/>
          <w:b w:val="1"/>
          <w:sz w:val="32"/>
        </w:rPr>
        <w:t>ПЕНЗЕНСКОЙ ОБЛАСТИ</w:t>
      </w:r>
    </w:p>
    <w:p>
      <w:pPr>
        <w:pStyle w:val="P1"/>
        <w:jc w:val="center"/>
        <w:rPr>
          <w:rStyle w:val="C3"/>
          <w:b w:val="1"/>
          <w:sz w:val="32"/>
        </w:rPr>
      </w:pPr>
      <w:r>
        <w:rPr>
          <w:rStyle w:val="C3"/>
          <w:b w:val="1"/>
          <w:sz w:val="32"/>
        </w:rPr>
        <w:t>ВОСЬМОГО СОЗЫВА</w:t>
      </w:r>
    </w:p>
    <w:p>
      <w:pPr>
        <w:pStyle w:val="P1"/>
        <w:jc w:val="center"/>
        <w:rPr>
          <w:rStyle w:val="C3"/>
          <w:b w:val="1"/>
          <w:sz w:val="32"/>
        </w:rPr>
      </w:pPr>
    </w:p>
    <w:p>
      <w:pPr>
        <w:pStyle w:val="P1"/>
        <w:jc w:val="center"/>
        <w:rPr>
          <w:rStyle w:val="C3"/>
          <w:b w:val="1"/>
          <w:sz w:val="32"/>
        </w:rPr>
      </w:pPr>
      <w:r>
        <w:rPr>
          <w:rStyle w:val="C3"/>
          <w:b w:val="1"/>
          <w:sz w:val="32"/>
        </w:rPr>
        <w:t>РЕШЕНИЕ</w:t>
      </w:r>
    </w:p>
    <w:p>
      <w:pPr>
        <w:pStyle w:val="P1"/>
        <w:widowControl w:val="1"/>
        <w:jc w:val="center"/>
        <w:rPr>
          <w:rStyle w:val="C3"/>
        </w:rPr>
      </w:pPr>
    </w:p>
    <w:tbl>
      <w:tblPr>
        <w:tblStyle w:val="T2"/>
        <w:tblpPr w:leftFromText="180" w:rightFromText="180" w:tblpX="1" w:tblpY="-53" w:horzAnchor="margin" w:vertAnchor="text" w:tblpXSpec="center"/>
        <w:tblW w:w="0" w:type="auto"/>
        <w:tblLayout w:type="fixed"/>
        <w:tblCellMar>
          <w:left w:w="0" w:type="dxa"/>
          <w:right w:w="0" w:type="dxa"/>
        </w:tblCellMar>
      </w:tblPr>
      <w:tblGrid/>
      <w:tr>
        <w:tc>
          <w:tcPr>
            <w:tcW w:w="284" w:type="dxa"/>
            <w:vAlign w:val="bottom"/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1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shadow="0" w:frame="0" w:color="auto"/>
              <w:right w:val="nil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1"/>
              <w:jc w:val="center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30.10.2025</w:t>
            </w:r>
          </w:p>
        </w:tc>
        <w:tc>
          <w:tcPr>
            <w:tcW w:w="397" w:type="dxa"/>
            <w:vAlign w:val="bottom"/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1"/>
              <w:jc w:val="center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shadow="0" w:frame="0" w:color="auto"/>
              <w:right w:val="nil"/>
            </w:tcBorders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1"/>
              <w:jc w:val="center"/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89-17/8</w:t>
            </w:r>
          </w:p>
        </w:tc>
      </w:tr>
      <w:tr>
        <w:tc>
          <w:tcPr>
            <w:tcW w:w="4650" w:type="dxa"/>
            <w:gridSpan w:val="4"/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1"/>
              <w:jc w:val="center"/>
            </w:pPr>
            <w:r>
              <w:t>с. Степановка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1"/>
              <w:jc w:val="center"/>
              <w:rPr>
                <w:rStyle w:val="C3"/>
                <w:sz w:val="28"/>
              </w:rPr>
            </w:pPr>
          </w:p>
        </w:tc>
      </w:tr>
    </w:tbl>
    <w:p>
      <w:pPr>
        <w:pStyle w:val="P16"/>
        <w:spacing w:before="240" w:after="60" w:beforeAutospacing="0" w:afterAutospacing="0"/>
        <w:rPr>
          <w:rStyle w:val="C3"/>
          <w:b w:val="1"/>
          <w:sz w:val="28"/>
        </w:rPr>
      </w:pPr>
    </w:p>
    <w:p>
      <w:pPr>
        <w:pStyle w:val="P16"/>
        <w:spacing w:before="240" w:after="60" w:beforeAutospacing="0" w:afterAutospacing="0"/>
        <w:ind w:firstLine="567"/>
        <w:jc w:val="center"/>
        <w:rPr>
          <w:rStyle w:val="C3"/>
          <w:b w:val="1"/>
          <w:sz w:val="28"/>
        </w:rPr>
      </w:pPr>
      <w:r>
        <w:rPr>
          <w:rStyle w:val="C3"/>
          <w:b w:val="1"/>
          <w:sz w:val="28"/>
        </w:rPr>
        <w:t xml:space="preserve">О внесения изменений в Положение о пенсионном обеспечении за выслугу лет муниципальных служащих в  Степановском  сельсовете, утвержденное решением Комитета местного самоуправления Степановского  сельсовета Бессоновского района Пензенской области от 18.07.2012 г. № 196-68/5</w:t>
      </w:r>
    </w:p>
    <w:p>
      <w:pPr>
        <w:pStyle w:val="P1"/>
        <w:jc w:val="center"/>
        <w:outlineLvl w:val="0"/>
        <w:rPr>
          <w:rStyle w:val="C3"/>
          <w:color w:val="000000"/>
        </w:rPr>
      </w:pPr>
    </w:p>
    <w:p>
      <w:pPr>
        <w:pStyle w:val="P1"/>
        <w:ind w:firstLine="567"/>
        <w:jc w:val="both"/>
        <w:rPr>
          <w:rStyle w:val="C3"/>
          <w:color w:val="000000"/>
          <w:sz w:val="28"/>
        </w:rPr>
      </w:pPr>
    </w:p>
    <w:p>
      <w:pPr>
        <w:pStyle w:val="P15"/>
        <w:spacing w:before="0" w:after="0" w:beforeAutospacing="0" w:afterAutospacing="0"/>
        <w:ind w:firstLine="567"/>
        <w:jc w:val="both"/>
        <w:rPr>
          <w:rStyle w:val="C3"/>
          <w:sz w:val="28"/>
        </w:rPr>
      </w:pPr>
      <w:r>
        <w:rPr>
          <w:rStyle w:val="C3"/>
          <w:sz w:val="28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 13 Закона Пензенской области от 24.04.2024 № 4208-ЗПО «О муниципальной службе в Пензенской области», руководствуясь Уставом</w:t>
      </w:r>
      <w:r>
        <w:rPr>
          <w:rStyle w:val="C3"/>
          <w:b w:val="1"/>
          <w:sz w:val="28"/>
        </w:rPr>
        <w:t xml:space="preserve"> </w:t>
      </w:r>
      <w:r>
        <w:rPr>
          <w:rStyle w:val="C3"/>
          <w:sz w:val="28"/>
        </w:rPr>
        <w:t>сельского поселения Степановский сельсовет муниципального района Бессоновский район Пензенской области,</w:t>
      </w:r>
    </w:p>
    <w:p>
      <w:pPr>
        <w:pStyle w:val="P1"/>
        <w:ind w:firstLine="567"/>
        <w:jc w:val="both"/>
        <w:rPr>
          <w:rStyle w:val="C3"/>
          <w:sz w:val="26"/>
        </w:rPr>
      </w:pPr>
      <w:r>
        <w:rPr>
          <w:rStyle w:val="C3"/>
          <w:sz w:val="26"/>
        </w:rPr>
        <w:t xml:space="preserve"> </w:t>
      </w:r>
    </w:p>
    <w:p>
      <w:pPr>
        <w:pStyle w:val="P1"/>
        <w:jc w:val="both"/>
        <w:rPr>
          <w:rStyle w:val="C3"/>
          <w:color w:val="000000"/>
          <w:sz w:val="28"/>
        </w:rPr>
      </w:pPr>
    </w:p>
    <w:p>
      <w:pPr>
        <w:pStyle w:val="P1"/>
        <w:ind w:firstLine="567"/>
        <w:jc w:val="center"/>
        <w:rPr>
          <w:rStyle w:val="C3"/>
          <w:b w:val="1"/>
          <w:color w:val="000000"/>
          <w:sz w:val="28"/>
        </w:rPr>
      </w:pPr>
      <w:r>
        <w:rPr>
          <w:rStyle w:val="C3"/>
          <w:b w:val="1"/>
          <w:color w:val="000000"/>
          <w:sz w:val="28"/>
        </w:rPr>
        <w:t>Комитет местного самоуправления решил:</w:t>
      </w:r>
    </w:p>
    <w:p>
      <w:pPr>
        <w:pStyle w:val="P16"/>
        <w:spacing w:before="240" w:after="60" w:beforeAutospacing="0" w:afterAutospacing="0"/>
        <w:ind w:firstLine="567"/>
        <w:jc w:val="both"/>
        <w:rPr>
          <w:rStyle w:val="C3"/>
          <w:sz w:val="28"/>
        </w:rPr>
      </w:pPr>
      <w:r>
        <w:rPr>
          <w:rStyle w:val="C3"/>
          <w:color w:val="000000"/>
          <w:sz w:val="28"/>
        </w:rPr>
        <w:t xml:space="preserve">1. Внести </w:t>
      </w:r>
      <w:r>
        <w:rPr>
          <w:rStyle w:val="C3"/>
          <w:sz w:val="28"/>
        </w:rPr>
        <w:t xml:space="preserve">в Положение о пенсионном обеспечении за выслугу лет муниципальных служащих в Степановском  сельсовете, утвержденное решением Комитета местного самоуправления Степановского  сельсовета Бессоновского района Пензенской области от 18.07.2012 г. № 196-68/5 следующие изменения:</w:t>
      </w:r>
    </w:p>
    <w:p>
      <w:pPr>
        <w:pStyle w:val="P1"/>
        <w:ind w:firstLine="567"/>
        <w:jc w:val="both"/>
        <w:rPr>
          <w:rStyle w:val="C3"/>
          <w:sz w:val="28"/>
        </w:rPr>
      </w:pPr>
      <w:r>
        <w:rPr>
          <w:rStyle w:val="C3"/>
          <w:sz w:val="28"/>
        </w:rPr>
        <w:t>1.1. Пункт 6.3 раздела 6 изложить в следующей редакции:</w:t>
      </w:r>
    </w:p>
    <w:p>
      <w:pPr>
        <w:pStyle w:val="P1"/>
        <w:ind w:firstLine="567"/>
        <w:jc w:val="both"/>
        <w:rPr>
          <w:rStyle w:val="C3"/>
          <w:sz w:val="28"/>
        </w:rPr>
      </w:pPr>
      <w:r>
        <w:rPr>
          <w:rStyle w:val="C3"/>
          <w:sz w:val="28"/>
        </w:rPr>
        <w:t xml:space="preserve">«6.3. Размер пенсии за выслугу лет не может быть ниже  </w:t>
      </w:r>
      <w:r>
        <w:rPr>
          <w:rStyle w:val="C3"/>
          <w:sz w:val="28"/>
        </w:rPr>
        <w:t xml:space="preserve">4468 </w:t>
      </w:r>
      <w:r>
        <w:rPr>
          <w:rStyle w:val="C3"/>
          <w:sz w:val="28"/>
        </w:rPr>
        <w:t>рублей (далее минимальный размер пенсии)».</w:t>
      </w:r>
    </w:p>
    <w:p>
      <w:pPr>
        <w:pStyle w:val="P1"/>
        <w:ind w:firstLine="709"/>
        <w:jc w:val="both"/>
        <w:outlineLvl w:val="1"/>
        <w:rPr>
          <w:rStyle w:val="C3"/>
          <w:sz w:val="28"/>
        </w:rPr>
      </w:pPr>
      <w:r>
        <w:rPr>
          <w:rStyle w:val="C3"/>
          <w:sz w:val="28"/>
        </w:rPr>
        <w:t xml:space="preserve">2. Настоящее решение опубликовать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pStyle w:val="P1"/>
        <w:widowControl w:val="1"/>
        <w:suppressAutoHyphens w:val="0"/>
        <w:ind w:firstLine="567"/>
        <w:jc w:val="both"/>
        <w:rPr>
          <w:rStyle w:val="C3"/>
          <w:color w:val="000000"/>
          <w:sz w:val="28"/>
        </w:rPr>
      </w:pPr>
      <w:r>
        <w:rPr>
          <w:rStyle w:val="C3"/>
          <w:color w:val="000000"/>
          <w:sz w:val="28"/>
        </w:rPr>
        <w:t xml:space="preserve">3. Настоящее решение вступает в силу на следующий день после дня его официального опубликования и распространяется на правоотношения с 01 октября   2025 года.</w:t>
      </w:r>
    </w:p>
    <w:p>
      <w:pPr>
        <w:pStyle w:val="P1"/>
        <w:widowControl w:val="1"/>
        <w:suppressAutoHyphens w:val="0"/>
        <w:ind w:firstLine="567"/>
        <w:jc w:val="both"/>
        <w:rPr>
          <w:rStyle w:val="C3"/>
          <w:color w:val="000000"/>
          <w:sz w:val="28"/>
        </w:rPr>
      </w:pPr>
      <w:r>
        <w:rPr>
          <w:rStyle w:val="C3"/>
          <w:color w:val="000000"/>
          <w:sz w:val="28"/>
        </w:rPr>
        <w:t xml:space="preserve">4. Контроль за исполнением настоящего постановления возложить на главу администрации Степановского  сельсовета Бессоновского района Пензенской области.</w:t>
      </w:r>
    </w:p>
    <w:p>
      <w:pPr>
        <w:pStyle w:val="P1"/>
        <w:widowControl w:val="1"/>
        <w:suppressAutoHyphens w:val="0"/>
        <w:ind w:firstLine="567"/>
        <w:jc w:val="both"/>
        <w:rPr>
          <w:rStyle w:val="C3"/>
          <w:color w:val="000000"/>
          <w:sz w:val="28"/>
        </w:rPr>
      </w:pPr>
    </w:p>
    <w:p>
      <w:pPr>
        <w:pStyle w:val="P1"/>
        <w:widowControl w:val="1"/>
        <w:suppressAutoHyphens w:val="0"/>
        <w:ind w:firstLine="567"/>
        <w:jc w:val="both"/>
        <w:rPr>
          <w:rStyle w:val="C3"/>
          <w:color w:val="000000"/>
          <w:sz w:val="28"/>
        </w:rPr>
      </w:pPr>
    </w:p>
    <w:p>
      <w:pPr>
        <w:pStyle w:val="P1"/>
        <w:widowControl w:val="1"/>
        <w:suppressAutoHyphens w:val="0"/>
        <w:ind w:firstLine="567"/>
        <w:jc w:val="both"/>
        <w:rPr>
          <w:rStyle w:val="C3"/>
          <w:color w:val="000000"/>
          <w:sz w:val="28"/>
        </w:rPr>
      </w:pPr>
    </w:p>
    <w:p>
      <w:pPr>
        <w:pStyle w:val="P1"/>
        <w:widowControl w:val="1"/>
        <w:suppressAutoHyphens w:val="0"/>
        <w:ind w:firstLine="567"/>
        <w:jc w:val="both"/>
        <w:rPr>
          <w:rStyle w:val="C3"/>
          <w:color w:val="000000"/>
          <w:sz w:val="28"/>
        </w:rPr>
      </w:pPr>
    </w:p>
    <w:p>
      <w:pPr>
        <w:pStyle w:val="P1"/>
        <w:widowControl w:val="1"/>
        <w:suppressAutoHyphens w:val="0"/>
        <w:ind w:firstLine="567"/>
        <w:jc w:val="both"/>
        <w:rPr>
          <w:rStyle w:val="C3"/>
          <w:color w:val="000000"/>
          <w:sz w:val="28"/>
        </w:rPr>
      </w:pPr>
      <w:r>
        <w:rPr>
          <w:rStyle w:val="C3"/>
          <w:color w:val="000000"/>
          <w:sz w:val="28"/>
        </w:rPr>
        <w:t xml:space="preserve">Глава Степановского  сельсовета</w:t>
      </w:r>
    </w:p>
    <w:p>
      <w:pPr>
        <w:pStyle w:val="P1"/>
        <w:widowControl w:val="1"/>
        <w:suppressAutoHyphens w:val="0"/>
        <w:ind w:firstLine="567"/>
        <w:jc w:val="both"/>
        <w:rPr>
          <w:rStyle w:val="C3"/>
          <w:color w:val="000000"/>
          <w:sz w:val="28"/>
        </w:rPr>
      </w:pPr>
      <w:r>
        <w:rPr>
          <w:rStyle w:val="C3"/>
          <w:color w:val="000000"/>
          <w:sz w:val="28"/>
        </w:rPr>
        <w:t xml:space="preserve">Бессоновского района </w:t>
      </w:r>
    </w:p>
    <w:p>
      <w:pPr>
        <w:pStyle w:val="P1"/>
        <w:widowControl w:val="1"/>
        <w:suppressAutoHyphens w:val="0"/>
        <w:ind w:firstLine="567"/>
        <w:jc w:val="both"/>
        <w:rPr>
          <w:rStyle w:val="C3"/>
          <w:color w:val="000000"/>
          <w:sz w:val="28"/>
        </w:rPr>
      </w:pPr>
      <w:r>
        <w:rPr>
          <w:rStyle w:val="C3"/>
          <w:color w:val="000000"/>
          <w:sz w:val="28"/>
        </w:rPr>
        <w:t xml:space="preserve">Пензенской области                                                                С.Н.Хлудов </w:t>
      </w: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footnotePr>
        <w:pos w:val="beneathText"/>
      </w:footnotePr>
      <w:type w:val="nextPage"/>
      <w:pgSz w:w="11905" w:h="16837" w:code="9"/>
      <w:pgMar w:left="1134" w:right="1134" w:top="567" w:bottom="851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1"/>
      <w:framePr w:wrap="around" w:x="-8" w:xAlign="left" w:y="1" w:yAlign="inline"/>
      <w:rPr>
        <w:rStyle w:val="C17"/>
      </w:rPr>
    </w:pPr>
    <w:r>
      <w:fldChar w:fldCharType="begin"/>
    </w:r>
    <w:r>
      <w:rPr>
        <w:rStyle w:val="C17"/>
      </w:rPr>
      <w:instrText xml:space="preserve">PAGE  </w:instrText>
    </w:r>
    <w:r>
      <w:rPr>
        <w:rStyle w:val="C17"/>
      </w:rPr>
      <w:fldChar w:fldCharType="separate"/>
    </w:r>
    <w:r>
      <w:rPr>
        <w:rStyle w:val="C17"/>
      </w:rPr>
      <w:t>#</w:t>
    </w:r>
    <w:r>
      <w:rPr>
        <w:rStyle w:val="C17"/>
      </w:rPr>
      <w:fldChar w:fldCharType="end"/>
    </w:r>
  </w:p>
  <w:p>
    <w:pPr>
      <w:pStyle w:val="P11"/>
      <w:ind w:right="360"/>
      <w:rPr>
        <w:rStyle w:val="C17"/>
      </w:rPr>
    </w:pPr>
  </w:p>
</w:ftr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tab"/>
      <w:lvlText w:val=""/>
      <w:lvlJc w:val="left"/>
      <w:pPr>
        <w:ind w:hanging="432" w:left="432"/>
        <w:tabs>
          <w:tab w:val="left" w:pos="432" w:leader="none"/>
        </w:tabs>
      </w:pPr>
      <w:rPr/>
    </w:lvl>
    <w:lvl w:ilvl="1">
      <w:start w:val="1"/>
      <w:numFmt w:val="none"/>
      <w:suff w:val="tab"/>
      <w:lvlText w:val=""/>
      <w:lvlJc w:val="left"/>
      <w:pPr>
        <w:ind w:hanging="576" w:left="576"/>
        <w:tabs>
          <w:tab w:val="left" w:pos="576" w:leader="none"/>
        </w:tabs>
      </w:pPr>
      <w:rPr/>
    </w:lvl>
    <w:lvl w:ilvl="2">
      <w:start w:val="1"/>
      <w:numFmt w:val="none"/>
      <w:suff w:val="tab"/>
      <w:lvlText w:val=""/>
      <w:lvlJc w:val="left"/>
      <w:pPr>
        <w:ind w:hanging="720" w:left="720"/>
        <w:tabs>
          <w:tab w:val="left" w:pos="720" w:leader="none"/>
        </w:tabs>
      </w:pPr>
      <w:rPr/>
    </w:lvl>
    <w:lvl w:ilvl="3">
      <w:start w:val="1"/>
      <w:numFmt w:val="none"/>
      <w:suff w:val="tab"/>
      <w:lvlText w:val=""/>
      <w:lvlJc w:val="left"/>
      <w:pPr>
        <w:ind w:hanging="864" w:left="864"/>
        <w:tabs>
          <w:tab w:val="left" w:pos="864" w:leader="none"/>
        </w:tabs>
      </w:pPr>
      <w:rPr/>
    </w:lvl>
    <w:lvl w:ilvl="4">
      <w:start w:val="1"/>
      <w:numFmt w:val="none"/>
      <w:suff w:val="tab"/>
      <w:lvlText w:val=""/>
      <w:lvlJc w:val="left"/>
      <w:pPr>
        <w:ind w:hanging="1008" w:left="1008"/>
        <w:tabs>
          <w:tab w:val="left" w:pos="1008" w:leader="none"/>
        </w:tabs>
      </w:pPr>
      <w:rPr/>
    </w:lvl>
    <w:lvl w:ilvl="5">
      <w:start w:val="1"/>
      <w:numFmt w:val="none"/>
      <w:suff w:val="tab"/>
      <w:lvlText w:val=""/>
      <w:lvlJc w:val="left"/>
      <w:pPr>
        <w:ind w:hanging="1152" w:left="1152"/>
        <w:tabs>
          <w:tab w:val="left" w:pos="1152" w:leader="none"/>
        </w:tabs>
      </w:pPr>
      <w:rPr/>
    </w:lvl>
    <w:lvl w:ilvl="6">
      <w:start w:val="1"/>
      <w:numFmt w:val="none"/>
      <w:suff w:val="tab"/>
      <w:lvlText w:val=""/>
      <w:lvlJc w:val="left"/>
      <w:pPr>
        <w:ind w:hanging="1296" w:left="1296"/>
        <w:tabs>
          <w:tab w:val="left" w:pos="1296" w:leader="none"/>
        </w:tabs>
      </w:pPr>
      <w:rPr/>
    </w:lvl>
    <w:lvl w:ilvl="7">
      <w:start w:val="1"/>
      <w:numFmt w:val="none"/>
      <w:suff w:val="tab"/>
      <w:lvlText w:val=""/>
      <w:lvlJc w:val="left"/>
      <w:pPr>
        <w:ind w:hanging="1440" w:left="1440"/>
        <w:tabs>
          <w:tab w:val="left" w:pos="1440" w:leader="none"/>
        </w:tabs>
      </w:pPr>
      <w:rPr/>
    </w:lvl>
    <w:lvl w:ilvl="8">
      <w:start w:val="1"/>
      <w:numFmt w:val="none"/>
      <w:suff w:val="tab"/>
      <w:lvlText w:val=""/>
      <w:lvlJc w:val="left"/>
      <w:pPr>
        <w:ind w:hanging="1584" w:left="1584"/>
        <w:tabs>
          <w:tab w:val="left" w:pos="1584" w:leader="none"/>
        </w:tabs>
      </w:pPr>
      <w:rPr/>
    </w:lvl>
  </w:abstractNum>
  <w:abstractNum w:abstractNumId="1">
    <w:nsid w:val="00000002"/>
    <w:multiLevelType w:val="hybridMultilevel"/>
    <w:lvl w:ilvl="0" w:tplc="49FF17FD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AB70046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3868F3E0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5E0EC6DB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69704124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3C756761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462BEEBA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33F485FD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73BF3316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2">
    <w:nsid w:val="00000003"/>
    <w:multiLevelType w:val="hybridMultilevel"/>
    <w:lvl w:ilvl="0" w:tplc="64FB392E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21081B9">
      <w:start w:val="1"/>
      <w:numFmt w:val="bullet"/>
      <w:suff w:val="tab"/>
      <w:lvlText w:val="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2" w:tplc="4FB0BAB3">
      <w:start w:val="1"/>
      <w:numFmt w:val="bullet"/>
      <w:suff w:val="tab"/>
      <w:lvlText w:val="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3" w:tplc="2126F461">
      <w:start w:val="1"/>
      <w:numFmt w:val="bullet"/>
      <w:suff w:val="tab"/>
      <w:lvlText w:val="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4" w:tplc="7C87943C">
      <w:start w:val="1"/>
      <w:numFmt w:val="bullet"/>
      <w:suff w:val="tab"/>
      <w:lvlText w:val=""/>
      <w:lvlJc w:val="left"/>
      <w:pPr>
        <w:ind w:hanging="360" w:left="2160"/>
        <w:tabs>
          <w:tab w:val="left" w:pos="2160" w:leader="none"/>
        </w:tabs>
      </w:pPr>
      <w:rPr>
        <w:rFonts w:ascii="Symbol" w:hAnsi="Symbol"/>
      </w:rPr>
    </w:lvl>
    <w:lvl w:ilvl="5" w:tplc="30CA41B1">
      <w:start w:val="1"/>
      <w:numFmt w:val="bullet"/>
      <w:suff w:val="tab"/>
      <w:lvlText w:val="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6" w:tplc="621D539D">
      <w:start w:val="1"/>
      <w:numFmt w:val="bullet"/>
      <w:suff w:val="tab"/>
      <w:lvlText w:val="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7" w:tplc="34A12980">
      <w:start w:val="1"/>
      <w:numFmt w:val="bullet"/>
      <w:suff w:val="tab"/>
      <w:lvlText w:val="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8" w:tplc="3B92B71D">
      <w:start w:val="1"/>
      <w:numFmt w:val="bullet"/>
      <w:suff w:val="tab"/>
      <w:lvlText w:val="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</w:abstractNum>
  <w:abstractNum w:abstractNumId="3">
    <w:nsid w:val="0000000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1800"/>
        <w:tabs>
          <w:tab w:val="left" w:pos="180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2160"/>
        <w:tabs>
          <w:tab w:val="left" w:pos="216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2520"/>
        <w:tabs>
          <w:tab w:val="left" w:pos="25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2880"/>
        <w:tabs>
          <w:tab w:val="left" w:pos="288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3240"/>
        <w:tabs>
          <w:tab w:val="left" w:pos="324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3600"/>
        <w:tabs>
          <w:tab w:val="left" w:pos="3600" w:leader="none"/>
        </w:tabs>
      </w:pPr>
      <w:rPr/>
    </w:lvl>
  </w:abstractNum>
  <w:abstractNum w:abstractNumId="4">
    <w:nsid w:val="2B62113F"/>
    <w:multiLevelType w:val="multilevel"/>
    <w:lvl w:ilvl="0">
      <w:start w:val="1"/>
      <w:numFmt w:val="decimal"/>
      <w:suff w:val="tab"/>
      <w:lvlText w:val="%1)"/>
      <w:lvlJc w:val="left"/>
      <w:pPr>
        <w:ind w:hanging="360" w:left="928"/>
      </w:pPr>
      <w:rPr/>
    </w:lvl>
    <w:lvl w:ilvl="1">
      <w:start w:val="1"/>
      <w:numFmt w:val="lowerLetter"/>
      <w:suff w:val="tab"/>
      <w:lvlText w:val="%2."/>
      <w:lvlJc w:val="left"/>
      <w:pPr>
        <w:ind w:hanging="360" w:left="1648"/>
      </w:pPr>
      <w:rPr/>
    </w:lvl>
    <w:lvl w:ilvl="2">
      <w:start w:val="1"/>
      <w:numFmt w:val="lowerRoman"/>
      <w:suff w:val="tab"/>
      <w:lvlText w:val="%3."/>
      <w:lvlJc w:val="right"/>
      <w:pPr>
        <w:ind w:hanging="180" w:left="2368"/>
      </w:pPr>
      <w:rPr/>
    </w:lvl>
    <w:lvl w:ilvl="3">
      <w:start w:val="1"/>
      <w:numFmt w:val="decimal"/>
      <w:suff w:val="tab"/>
      <w:lvlText w:val="%4."/>
      <w:lvlJc w:val="left"/>
      <w:pPr>
        <w:ind w:hanging="360" w:left="3088"/>
      </w:pPr>
      <w:rPr/>
    </w:lvl>
    <w:lvl w:ilvl="4">
      <w:start w:val="1"/>
      <w:numFmt w:val="lowerLetter"/>
      <w:suff w:val="tab"/>
      <w:lvlText w:val="%5."/>
      <w:lvlJc w:val="left"/>
      <w:pPr>
        <w:ind w:hanging="360" w:left="3808"/>
      </w:pPr>
      <w:rPr/>
    </w:lvl>
    <w:lvl w:ilvl="5">
      <w:start w:val="1"/>
      <w:numFmt w:val="lowerRoman"/>
      <w:suff w:val="tab"/>
      <w:lvlText w:val="%6."/>
      <w:lvlJc w:val="right"/>
      <w:pPr>
        <w:ind w:hanging="180" w:left="4528"/>
      </w:pPr>
      <w:rPr/>
    </w:lvl>
    <w:lvl w:ilvl="6">
      <w:start w:val="1"/>
      <w:numFmt w:val="decimal"/>
      <w:suff w:val="tab"/>
      <w:lvlText w:val="%7."/>
      <w:lvlJc w:val="left"/>
      <w:pPr>
        <w:ind w:hanging="360" w:left="5248"/>
      </w:pPr>
      <w:rPr/>
    </w:lvl>
    <w:lvl w:ilvl="7">
      <w:start w:val="1"/>
      <w:numFmt w:val="lowerLetter"/>
      <w:suff w:val="tab"/>
      <w:lvlText w:val="%8."/>
      <w:lvlJc w:val="left"/>
      <w:pPr>
        <w:ind w:hanging="360" w:left="5968"/>
      </w:pPr>
      <w:rPr/>
    </w:lvl>
    <w:lvl w:ilvl="8">
      <w:start w:val="1"/>
      <w:numFmt w:val="lowerRoman"/>
      <w:suff w:val="tab"/>
      <w:lvlText w:val="%9."/>
      <w:lvlJc w:val="right"/>
      <w:pPr>
        <w:ind w:hanging="180" w:left="6688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widowControl w:val="0"/>
      <w:suppressAutoHyphens w:val="1"/>
    </w:pPr>
    <w:rPr>
      <w:sz w:val="24"/>
    </w:rPr>
  </w:style>
  <w:style w:type="paragraph" w:styleId="P2">
    <w:name w:val="ConsPlusNormal"/>
    <w:next w:val="P1"/>
    <w:link w:val="C15"/>
    <w:pPr>
      <w:widowControl w:val="0"/>
      <w:suppressAutoHyphens w:val="1"/>
      <w:ind w:firstLine="720"/>
    </w:pPr>
    <w:rPr>
      <w:rFonts w:ascii="Arial" w:hAnsi="Arial"/>
    </w:rPr>
  </w:style>
  <w:style w:type="paragraph" w:styleId="P3">
    <w:name w:val="ConsPlusNonformat"/>
    <w:next w:val="P3"/>
    <w:pPr>
      <w:widowControl w:val="0"/>
      <w:suppressAutoHyphens w:val="1"/>
    </w:pPr>
    <w:rPr>
      <w:rFonts w:ascii="Courier New" w:hAnsi="Courier New"/>
    </w:rPr>
  </w:style>
  <w:style w:type="paragraph" w:styleId="P4">
    <w:name w:val="ConsNormal"/>
    <w:next w:val="P4"/>
    <w:pPr>
      <w:widowControl w:val="0"/>
      <w:ind w:firstLine="720"/>
    </w:pPr>
    <w:rPr>
      <w:rFonts w:ascii="Arial" w:hAnsi="Arial"/>
      <w:sz w:val="16"/>
    </w:rPr>
  </w:style>
  <w:style w:type="paragraph" w:styleId="P5">
    <w:name w:val="Заголовок 3"/>
    <w:basedOn w:val="P1"/>
    <w:next w:val="P1"/>
    <w:qFormat/>
    <w:pPr>
      <w:keepNext w:val="1"/>
      <w:spacing w:before="240" w:after="60" w:beforeAutospacing="0" w:afterAutospacing="0"/>
      <w:outlineLvl w:val="2"/>
    </w:pPr>
    <w:rPr>
      <w:rFonts w:ascii="Arial" w:hAnsi="Arial"/>
      <w:b w:val="1"/>
      <w:sz w:val="26"/>
    </w:rPr>
  </w:style>
  <w:style w:type="paragraph" w:styleId="P6">
    <w:name w:val="Заголовок"/>
    <w:basedOn w:val="P1"/>
    <w:next w:val="P7"/>
    <w:pPr>
      <w:keepNext w:val="1"/>
      <w:spacing w:before="240" w:after="120" w:beforeAutospacing="0" w:afterAutospacing="0"/>
    </w:pPr>
    <w:rPr>
      <w:rFonts w:ascii="Arial" w:hAnsi="Arial"/>
      <w:sz w:val="28"/>
    </w:rPr>
  </w:style>
  <w:style w:type="paragraph" w:styleId="P7">
    <w:name w:val="Основной текст"/>
    <w:basedOn w:val="P1"/>
    <w:next w:val="P7"/>
    <w:pPr>
      <w:spacing w:before="0" w:after="120" w:beforeAutospacing="0" w:afterAutospacing="0"/>
    </w:pPr>
    <w:rPr/>
  </w:style>
  <w:style w:type="paragraph" w:styleId="P8">
    <w:name w:val="Название1"/>
    <w:basedOn w:val="P1"/>
    <w:next w:val="P8"/>
    <w:pPr>
      <w:suppressLineNumbers w:val="1"/>
      <w:spacing w:before="120" w:after="120" w:beforeAutospacing="0" w:afterAutospacing="0"/>
    </w:pPr>
    <w:rPr>
      <w:i w:val="1"/>
      <w:sz w:val="24"/>
    </w:rPr>
  </w:style>
  <w:style w:type="paragraph" w:styleId="P9">
    <w:name w:val="Указатель1"/>
    <w:basedOn w:val="P1"/>
    <w:next w:val="P9"/>
    <w:pPr>
      <w:suppressLineNumbers w:val="1"/>
    </w:pPr>
    <w:rPr/>
  </w:style>
  <w:style w:type="paragraph" w:styleId="P10">
    <w:name w:val="Содержимое таблицы"/>
    <w:basedOn w:val="P1"/>
    <w:next w:val="P10"/>
    <w:pPr>
      <w:suppressLineNumbers w:val="1"/>
    </w:pPr>
    <w:rPr/>
  </w:style>
  <w:style w:type="paragraph" w:styleId="P11">
    <w:name w:val="Нижний колонтитул"/>
    <w:basedOn w:val="P1"/>
    <w:next w:val="P11"/>
    <w:pPr>
      <w:tabs>
        <w:tab w:val="center" w:pos="4677" w:leader="none"/>
        <w:tab w:val="right" w:pos="9355" w:leader="none"/>
      </w:tabs>
    </w:pPr>
    <w:rPr/>
  </w:style>
  <w:style w:type="paragraph" w:styleId="P12">
    <w:name w:val="Текст сноски"/>
    <w:basedOn w:val="P1"/>
    <w:next w:val="P12"/>
    <w:pPr/>
    <w:rPr>
      <w:sz w:val="20"/>
    </w:rPr>
  </w:style>
  <w:style w:type="paragraph" w:styleId="P13">
    <w:name w:val="Верхний колонтитул"/>
    <w:basedOn w:val="P1"/>
    <w:next w:val="P13"/>
    <w:pPr>
      <w:tabs>
        <w:tab w:val="center" w:pos="4677" w:leader="none"/>
        <w:tab w:val="right" w:pos="9355" w:leader="none"/>
      </w:tabs>
    </w:pPr>
    <w:rPr/>
  </w:style>
  <w:style w:type="paragraph" w:styleId="P14">
    <w:name w:val="Текст выноски"/>
    <w:basedOn w:val="P1"/>
    <w:next w:val="P14"/>
    <w:pPr/>
    <w:rPr>
      <w:rFonts w:ascii="Tahoma" w:hAnsi="Tahoma"/>
      <w:sz w:val="16"/>
    </w:rPr>
  </w:style>
  <w:style w:type="paragraph" w:styleId="P15">
    <w:name w:val="Обычный (веб)"/>
    <w:basedOn w:val="P1"/>
    <w:next w:val="P15"/>
    <w:pPr>
      <w:widowControl w:val="1"/>
      <w:suppressAutoHyphens w:val="0"/>
      <w:spacing w:before="100" w:after="100" w:beforeAutospacing="1" w:afterAutospacing="1"/>
    </w:pPr>
    <w:rPr/>
  </w:style>
  <w:style w:type="paragraph" w:styleId="P16">
    <w:name w:val="title"/>
    <w:basedOn w:val="P1"/>
    <w:next w:val="P16"/>
    <w:pPr>
      <w:widowControl w:val="1"/>
      <w:suppressAutoHyphens w:val="0"/>
      <w:spacing w:before="100" w:after="100" w:beforeAutospacing="1" w:afterAutospacing="1"/>
    </w:pPr>
    <w:rPr/>
  </w:style>
  <w:style w:type="paragraph" w:styleId="P17">
    <w:name w:val="Заголовок 1"/>
    <w:basedOn w:val="P6"/>
    <w:next w:val="P7"/>
    <w:qFormat/>
    <w:pPr>
      <w:numPr>
        <w:numId w:val="1"/>
      </w:numPr>
      <w:outlineLvl w:val="0"/>
    </w:pPr>
    <w:rPr>
      <w:rFonts w:ascii="Times New Roman" w:hAnsi="Times New Roman"/>
      <w:b w:val="1"/>
      <w:sz w:val="48"/>
    </w:rPr>
  </w:style>
  <w:style w:type="paragraph" w:styleId="P18">
    <w:name w:val="Список"/>
    <w:basedOn w:val="P7"/>
    <w:next w:val="P18"/>
    <w:pPr/>
    <w:rPr/>
  </w:style>
  <w:style w:type="paragraph" w:styleId="P19">
    <w:name w:val="Заголовок таблицы"/>
    <w:basedOn w:val="P10"/>
    <w:next w:val="P19"/>
    <w:pPr>
      <w:suppressLineNumbers w:val="1"/>
      <w:jc w:val="center"/>
    </w:pPr>
    <w:rPr>
      <w:b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WW8Num2z0"/>
    <w:rPr>
      <w:rFonts w:ascii="Symbol" w:hAnsi="Symbol"/>
    </w:rPr>
  </w:style>
  <w:style w:type="character" w:styleId="C5">
    <w:name w:val="WW8Num4z0"/>
    <w:rPr>
      <w:rFonts w:ascii="Symbol" w:hAnsi="Symbol"/>
    </w:rPr>
  </w:style>
  <w:style w:type="character" w:styleId="C6">
    <w:name w:val="Absatz-Standardschriftart"/>
    <w:rPr/>
  </w:style>
  <w:style w:type="character" w:styleId="C7">
    <w:name w:val="WW-Absatz-Standardschriftart"/>
    <w:rPr/>
  </w:style>
  <w:style w:type="character" w:styleId="C8">
    <w:name w:val="WW-Absatz-Standardschriftart1"/>
    <w:rPr/>
  </w:style>
  <w:style w:type="character" w:styleId="C9">
    <w:name w:val="WW-Absatz-Standardschriftart11"/>
    <w:rPr/>
  </w:style>
  <w:style w:type="character" w:styleId="C10">
    <w:name w:val="WW-Absatz-Standardschriftart111"/>
    <w:rPr/>
  </w:style>
  <w:style w:type="character" w:styleId="C11">
    <w:name w:val="WW-Absatz-Standardschriftart1111"/>
    <w:rPr/>
  </w:style>
  <w:style w:type="character" w:styleId="C12">
    <w:name w:val="Маркеры списка"/>
    <w:rPr>
      <w:rFonts w:ascii="OpenSymbol" w:hAnsi="OpenSymbol"/>
    </w:rPr>
  </w:style>
  <w:style w:type="character" w:styleId="C13">
    <w:name w:val="Символ нумерации"/>
    <w:rPr/>
  </w:style>
  <w:style w:type="character" w:styleId="C14">
    <w:name w:val="Знак сноски"/>
    <w:rPr>
      <w:vertAlign w:val="superscript"/>
    </w:rPr>
  </w:style>
  <w:style w:type="character" w:styleId="C15">
    <w:name w:val="ConsPlusNormal Знак"/>
    <w:link w:val="P2"/>
    <w:rPr>
      <w:rFonts w:ascii="Arial" w:hAnsi="Arial"/>
    </w:rPr>
  </w:style>
  <w:style w:type="character" w:styleId="C16">
    <w:name w:val="hyperlink"/>
    <w:rPr/>
  </w:style>
  <w:style w:type="character" w:styleId="C17">
    <w:name w:val="Номер страницы"/>
    <w:basedOn w:val="C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