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364CA">
      <w:pPr>
        <w:ind w:left="142"/>
        <w:jc w:val="right"/>
        <w:rPr>
          <w:b/>
          <w:szCs w:val="28"/>
        </w:rPr>
      </w:pPr>
      <w:r>
        <w:rPr>
          <w:rFonts w:eastAsia="Times New Roman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-310515</wp:posOffset>
            </wp:positionV>
            <wp:extent cx="733425" cy="9144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Cs w:val="28"/>
        </w:rPr>
        <w:t xml:space="preserve">       </w:t>
      </w:r>
    </w:p>
    <w:p w14:paraId="3BFC0552">
      <w:pPr>
        <w:ind w:left="142"/>
        <w:jc w:val="right"/>
        <w:rPr>
          <w:b/>
          <w:szCs w:val="28"/>
        </w:rPr>
      </w:pPr>
    </w:p>
    <w:p w14:paraId="6D36489C">
      <w:pPr>
        <w:pStyle w:val="13"/>
        <w:tabs>
          <w:tab w:val="left" w:pos="708"/>
        </w:tabs>
        <w:jc w:val="center"/>
        <w:rPr>
          <w:rFonts w:eastAsia="Times New Roman"/>
          <w:sz w:val="18"/>
          <w:szCs w:val="18"/>
          <w:lang w:eastAsia="ru-RU"/>
        </w:rPr>
      </w:pPr>
      <w:r>
        <w:rPr>
          <w:b/>
          <w:szCs w:val="28"/>
        </w:rPr>
        <w:tab/>
      </w:r>
    </w:p>
    <w:p w14:paraId="568C79E3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1905" b="25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F61A8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26" o:spt="202" type="#_x0000_t202" style="position:absolute;left:0pt;margin-left:378pt;margin-top:-27pt;height:39.9pt;width:111.15pt;z-index:251663360;mso-width-relative:page;mso-height-relative:page;" fillcolor="#FFFFFF" filled="t" stroked="f" coordsize="21600,21600" o:gfxdata="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oLSz9kAAAAKAQAADwAAAAAAAAABACAAAAAiAAAAZHJzL2Rvd25yZXYu&#10;eG1sUEsBAhQAFAAAAAgAh07iQKXVJa4zAgAAQwQAAA4AAAAAAAAAAQAgAAAAKAEAAGRycy9lMm9E&#10;b2MueG1sUEsFBgAAAAAGAAYAWQEAAM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8F61A8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CE4FC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sz w:val="18"/>
          <w:szCs w:val="18"/>
          <w:lang w:eastAsia="ru-RU"/>
        </w:rPr>
      </w:pPr>
    </w:p>
    <w:p w14:paraId="63598A7C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sz w:val="18"/>
          <w:szCs w:val="18"/>
          <w:lang w:eastAsia="ru-RU"/>
        </w:rPr>
      </w:pPr>
    </w:p>
    <w:p w14:paraId="7D22A94F">
      <w:pPr>
        <w:widowControl w:val="0"/>
        <w:tabs>
          <w:tab w:val="left" w:pos="708"/>
          <w:tab w:val="center" w:pos="4153"/>
          <w:tab w:val="right" w:pos="8306"/>
        </w:tabs>
        <w:spacing w:line="240" w:lineRule="auto"/>
        <w:jc w:val="center"/>
        <w:rPr>
          <w:rFonts w:eastAsia="Times New Roman"/>
          <w:sz w:val="30"/>
          <w:szCs w:val="20"/>
          <w:lang w:eastAsia="ru-RU"/>
        </w:rPr>
      </w:pPr>
    </w:p>
    <w:p w14:paraId="35C63BFA">
      <w:pPr>
        <w:widowControl w:val="0"/>
        <w:spacing w:line="240" w:lineRule="auto"/>
        <w:jc w:val="left"/>
        <w:rPr>
          <w:rFonts w:eastAsia="Times New Roman"/>
          <w:sz w:val="30"/>
          <w:szCs w:val="20"/>
          <w:lang w:eastAsia="ru-RU"/>
        </w:rPr>
      </w:pPr>
    </w:p>
    <w:p w14:paraId="10F7BE77">
      <w:pPr>
        <w:spacing w:line="240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</w:p>
    <w:tbl>
      <w:tblPr>
        <w:tblStyle w:val="6"/>
        <w:tblW w:w="96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6"/>
      </w:tblGrid>
      <w:tr w14:paraId="6845F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9606" w:type="dxa"/>
          </w:tcPr>
          <w:p w14:paraId="0B528A24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b/>
                <w:sz w:val="32"/>
                <w:szCs w:val="32"/>
                <w:lang w:eastAsia="ru-RU"/>
              </w:rPr>
              <w:t xml:space="preserve">АДМИНИСТРАЦИЯ </w:t>
            </w:r>
            <w:r>
              <w:rPr>
                <w:rFonts w:eastAsia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eastAsia="Times New Roman"/>
                <w:b/>
                <w:caps/>
                <w:sz w:val="32"/>
                <w:szCs w:val="32"/>
                <w:lang w:eastAsia="ru-RU"/>
              </w:rPr>
              <w:t xml:space="preserve">Чемодановского </w:t>
            </w:r>
            <w:r>
              <w:rPr>
                <w:rFonts w:eastAsia="Times New Roman"/>
                <w:b/>
                <w:sz w:val="32"/>
                <w:szCs w:val="32"/>
                <w:lang w:eastAsia="ru-RU"/>
              </w:rPr>
              <w:t xml:space="preserve"> СЕЛЬСОВЕТА</w:t>
            </w:r>
          </w:p>
          <w:p w14:paraId="788A2F50">
            <w:pPr>
              <w:framePr w:wrap="around" w:vAnchor="page" w:hAnchor="page" w:x="1443" w:y="2395"/>
              <w:widowControl w:val="0"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32"/>
                <w:szCs w:val="32"/>
                <w:lang w:eastAsia="ru-RU"/>
              </w:rPr>
              <w:t>БЕССОНОВСКОГО РАЙОНА ПЕНЗЕНСКОЙ ОБЛАСТИ</w:t>
            </w:r>
          </w:p>
        </w:tc>
      </w:tr>
      <w:tr w14:paraId="2AF25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vAlign w:val="center"/>
          </w:tcPr>
          <w:p w14:paraId="604750C4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  <w:tr w14:paraId="66ED3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</w:tcPr>
          <w:p w14:paraId="2D3F0D48">
            <w:pPr>
              <w:framePr w:wrap="around" w:vAnchor="page" w:hAnchor="page" w:x="1443" w:y="2395"/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40"/>
                <w:szCs w:val="20"/>
                <w:lang w:eastAsia="ru-RU"/>
              </w:rPr>
              <w:t>ПОСТАНОВЛЕНИЕ</w:t>
            </w:r>
          </w:p>
        </w:tc>
      </w:tr>
      <w:tr w14:paraId="6F297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14:paraId="368388F2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  <w:tr w14:paraId="26316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vAlign w:val="center"/>
          </w:tcPr>
          <w:p w14:paraId="2550C20E">
            <w:pPr>
              <w:keepNext/>
              <w:framePr w:wrap="around" w:vAnchor="page" w:hAnchor="page" w:x="1443" w:y="2395"/>
              <w:spacing w:line="240" w:lineRule="auto"/>
              <w:jc w:val="center"/>
              <w:outlineLvl w:val="2"/>
              <w:rPr>
                <w:rFonts w:eastAsia="Times New Roman"/>
                <w:b/>
                <w:sz w:val="40"/>
                <w:szCs w:val="20"/>
                <w:lang w:eastAsia="ru-RU"/>
              </w:rPr>
            </w:pPr>
          </w:p>
        </w:tc>
      </w:tr>
    </w:tbl>
    <w:p w14:paraId="5126D207">
      <w:pPr>
        <w:widowControl w:val="0"/>
        <w:spacing w:line="240" w:lineRule="auto"/>
        <w:jc w:val="left"/>
        <w:rPr>
          <w:rFonts w:eastAsia="Times New Roman"/>
          <w:vanish/>
          <w:sz w:val="20"/>
          <w:szCs w:val="20"/>
          <w:lang w:eastAsia="ru-RU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6"/>
      </w:tblGrid>
      <w:tr w14:paraId="705FE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</w:tcPr>
          <w:p w14:paraId="5954382C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  <w:p w14:paraId="0EFBE3D4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b/>
                <w:szCs w:val="28"/>
                <w:lang w:eastAsia="ru-RU"/>
              </w:rPr>
              <w:t>Об утверждении схемы теплоснабжения в с. Чемодановка Бессоновского района Пензенской области».</w:t>
            </w:r>
          </w:p>
        </w:tc>
      </w:tr>
    </w:tbl>
    <w:p w14:paraId="2A65529B">
      <w:pPr>
        <w:widowControl w:val="0"/>
        <w:spacing w:line="240" w:lineRule="auto"/>
        <w:jc w:val="left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2835"/>
        <w:gridCol w:w="397"/>
        <w:gridCol w:w="1134"/>
      </w:tblGrid>
      <w:tr w14:paraId="1F245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14:paraId="0C1EBB16">
            <w:pPr>
              <w:framePr w:wrap="around" w:vAnchor="page" w:hAnchor="page" w:x="3947" w:y="4669"/>
              <w:spacing w:line="240" w:lineRule="auto"/>
              <w:jc w:val="left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11FBE601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  <w:p w14:paraId="07B371E2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26.06.2025 г.                         </w:t>
            </w:r>
          </w:p>
        </w:tc>
        <w:tc>
          <w:tcPr>
            <w:tcW w:w="397" w:type="dxa"/>
            <w:vAlign w:val="bottom"/>
          </w:tcPr>
          <w:p w14:paraId="0A24A374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3A9F3D08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  <w:p w14:paraId="09F535F9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284</w:t>
            </w:r>
          </w:p>
        </w:tc>
      </w:tr>
      <w:tr w14:paraId="7D678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14:paraId="4F5E0083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10"/>
                <w:szCs w:val="20"/>
                <w:lang w:eastAsia="ru-RU"/>
              </w:rPr>
            </w:pPr>
          </w:p>
          <w:p w14:paraId="644670F0">
            <w:pPr>
              <w:framePr w:wrap="around" w:vAnchor="page" w:hAnchor="page" w:x="3947" w:y="4669"/>
              <w:spacing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с. Чемодановка</w:t>
            </w:r>
          </w:p>
        </w:tc>
      </w:tr>
    </w:tbl>
    <w:p w14:paraId="08DBC38D">
      <w:pPr>
        <w:spacing w:line="240" w:lineRule="auto"/>
        <w:ind w:firstLine="72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 основании закона №131-ФЗ от 06.10.2003 г. «Об общих принципах организации местного само</w:t>
      </w:r>
      <w:bookmarkStart w:id="43" w:name="_GoBack"/>
      <w:bookmarkEnd w:id="43"/>
      <w:r>
        <w:rPr>
          <w:rFonts w:eastAsia="Times New Roman"/>
          <w:szCs w:val="28"/>
          <w:lang w:eastAsia="ru-RU"/>
        </w:rPr>
        <w:t xml:space="preserve">управления на территории Российской Федерации», закона от 27.07.2010 года № 190-Ф ч.1 ст.6 «О теплоснабжении»; Постановления Правительства РФ от 22 февраля 2012 г. № 154 «О требованиях к схемам теплоснабжения, порядку их разработки и утверждения», Устава сельского поселения Чемодановский сельсовет муниципального района Бессоновский район Пензенской области:   </w:t>
      </w:r>
    </w:p>
    <w:p w14:paraId="71E9B86F">
      <w:pPr>
        <w:widowControl w:val="0"/>
        <w:numPr>
          <w:ilvl w:val="0"/>
          <w:numId w:val="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Утвердить схему теплоснабжения с. Чемодановка Бессоновского района Пензенской области (прилагается).</w:t>
      </w:r>
    </w:p>
    <w:p w14:paraId="2E556DB7">
      <w:pPr>
        <w:widowControl w:val="0"/>
        <w:numPr>
          <w:ilvl w:val="0"/>
          <w:numId w:val="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Контроль за исполнением данного распоряжения оставляю за собой.</w:t>
      </w:r>
    </w:p>
    <w:p w14:paraId="1E5ED4D5">
      <w:pPr>
        <w:widowControl w:val="0"/>
        <w:numPr>
          <w:ilvl w:val="0"/>
          <w:numId w:val="1"/>
        </w:numPr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Настоящее распоряжение вступает в силу с момента официального опубликования в информационном бюллетене «Сельские ведомости» и на официальном сайте Администрации Чемодановского сельсовета Бессоновского района Пензенской области в сети Интернет.</w:t>
      </w:r>
    </w:p>
    <w:p w14:paraId="3717B091">
      <w:pPr>
        <w:spacing w:line="240" w:lineRule="auto"/>
        <w:ind w:left="720"/>
        <w:rPr>
          <w:rFonts w:eastAsia="Times New Roman"/>
          <w:szCs w:val="28"/>
          <w:lang w:eastAsia="ru-RU"/>
        </w:rPr>
      </w:pPr>
    </w:p>
    <w:p w14:paraId="22DD8591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</w:p>
    <w:p w14:paraId="2759CBD1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</w:p>
    <w:p w14:paraId="3AECD6FC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Глава администрации</w:t>
      </w:r>
    </w:p>
    <w:p w14:paraId="2B005505">
      <w:pPr>
        <w:widowControl w:val="0"/>
        <w:spacing w:line="240" w:lineRule="auto"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Чемодановского сельсовета                                                                        О.А. Сурков</w:t>
      </w:r>
    </w:p>
    <w:p w14:paraId="46CA61A1">
      <w:pPr>
        <w:widowControl w:val="0"/>
        <w:tabs>
          <w:tab w:val="left" w:pos="5940"/>
        </w:tabs>
        <w:spacing w:line="240" w:lineRule="auto"/>
        <w:jc w:val="left"/>
        <w:rPr>
          <w:rFonts w:eastAsia="Times New Roman"/>
          <w:sz w:val="26"/>
          <w:szCs w:val="26"/>
          <w:lang w:eastAsia="ru-RU"/>
        </w:rPr>
      </w:pPr>
    </w:p>
    <w:p w14:paraId="0FBC50AD">
      <w:pPr>
        <w:tabs>
          <w:tab w:val="left" w:pos="2115"/>
        </w:tabs>
        <w:ind w:left="142"/>
        <w:rPr>
          <w:b/>
          <w:szCs w:val="28"/>
        </w:rPr>
      </w:pPr>
    </w:p>
    <w:p w14:paraId="45DA912D">
      <w:pPr>
        <w:ind w:left="142"/>
        <w:jc w:val="right"/>
        <w:rPr>
          <w:b/>
          <w:szCs w:val="28"/>
        </w:rPr>
      </w:pPr>
    </w:p>
    <w:p w14:paraId="4103163C">
      <w:pPr>
        <w:ind w:left="142"/>
        <w:jc w:val="right"/>
        <w:rPr>
          <w:b/>
          <w:szCs w:val="28"/>
        </w:rPr>
      </w:pPr>
    </w:p>
    <w:p w14:paraId="63BFADAE">
      <w:pPr>
        <w:rPr>
          <w:b/>
          <w:szCs w:val="28"/>
        </w:rPr>
      </w:pPr>
    </w:p>
    <w:p w14:paraId="29C90DAB">
      <w:pPr>
        <w:rPr>
          <w:b/>
          <w:szCs w:val="28"/>
        </w:rPr>
      </w:pPr>
    </w:p>
    <w:p w14:paraId="7BAB9093">
      <w:pPr>
        <w:rPr>
          <w:b/>
          <w:lang w:eastAsia="ru-RU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    </w:t>
      </w:r>
      <w:r>
        <w:rPr>
          <w:b/>
          <w:lang w:eastAsia="ru-RU"/>
        </w:rPr>
        <w:t>Утверждено</w:t>
      </w:r>
    </w:p>
    <w:p w14:paraId="7FD65474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 xml:space="preserve">постановлением главы Администрации </w:t>
      </w:r>
    </w:p>
    <w:p w14:paraId="5C72EC7C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>Чемодановского сельсовета</w:t>
      </w:r>
    </w:p>
    <w:p w14:paraId="3FE7451C">
      <w:pPr>
        <w:ind w:left="142"/>
        <w:jc w:val="right"/>
        <w:rPr>
          <w:b/>
          <w:lang w:eastAsia="ru-RU"/>
        </w:rPr>
      </w:pPr>
    </w:p>
    <w:p w14:paraId="26532AE0">
      <w:pPr>
        <w:ind w:left="142"/>
        <w:jc w:val="right"/>
        <w:rPr>
          <w:b/>
          <w:lang w:eastAsia="ru-RU"/>
        </w:rPr>
      </w:pPr>
      <w:r>
        <w:rPr>
          <w:b/>
          <w:lang w:eastAsia="ru-RU"/>
        </w:rPr>
        <w:t>от 26.06.2025 г. № 284</w:t>
      </w:r>
    </w:p>
    <w:p w14:paraId="5FA095D6">
      <w:pPr>
        <w:jc w:val="right"/>
        <w:rPr>
          <w:b/>
          <w:bCs/>
          <w:szCs w:val="28"/>
          <w:highlight w:val="yellow"/>
        </w:rPr>
      </w:pPr>
    </w:p>
    <w:p w14:paraId="2EA11101">
      <w:pPr>
        <w:jc w:val="center"/>
        <w:rPr>
          <w:b/>
          <w:bCs/>
          <w:szCs w:val="28"/>
          <w:highlight w:val="yellow"/>
        </w:rPr>
      </w:pPr>
    </w:p>
    <w:p w14:paraId="74161A2B">
      <w:pPr>
        <w:jc w:val="center"/>
        <w:rPr>
          <w:b/>
          <w:bCs/>
          <w:szCs w:val="28"/>
        </w:rPr>
      </w:pPr>
    </w:p>
    <w:p w14:paraId="0EF6D66A">
      <w:pPr>
        <w:spacing w:after="120"/>
        <w:jc w:val="center"/>
        <w:rPr>
          <w:b/>
          <w:szCs w:val="28"/>
        </w:rPr>
      </w:pPr>
    </w:p>
    <w:p w14:paraId="2E8C5E7A">
      <w:pPr>
        <w:jc w:val="center"/>
        <w:rPr>
          <w:b/>
          <w:szCs w:val="28"/>
        </w:rPr>
      </w:pPr>
    </w:p>
    <w:p w14:paraId="5A112A1D">
      <w:pPr>
        <w:jc w:val="center"/>
        <w:rPr>
          <w:b/>
          <w:szCs w:val="28"/>
        </w:rPr>
      </w:pPr>
    </w:p>
    <w:p w14:paraId="5F89726D">
      <w:pPr>
        <w:jc w:val="center"/>
        <w:rPr>
          <w:b/>
          <w:szCs w:val="28"/>
        </w:rPr>
      </w:pPr>
    </w:p>
    <w:p w14:paraId="36F79BE9">
      <w:pPr>
        <w:jc w:val="center"/>
        <w:rPr>
          <w:b/>
          <w:szCs w:val="28"/>
        </w:rPr>
      </w:pPr>
    </w:p>
    <w:p w14:paraId="40ABE9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Схема теплоснабжения муниципального образования </w:t>
      </w:r>
    </w:p>
    <w:p w14:paraId="54250B1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Чемодановка Бессоновского района Пензенской области</w:t>
      </w:r>
    </w:p>
    <w:p w14:paraId="2C275C34">
      <w:pPr>
        <w:jc w:val="center"/>
        <w:rPr>
          <w:b/>
          <w:color w:val="1F497D"/>
          <w:szCs w:val="28"/>
          <w:highlight w:val="yellow"/>
        </w:rPr>
      </w:pPr>
    </w:p>
    <w:p w14:paraId="7D09117A">
      <w:pPr>
        <w:jc w:val="center"/>
        <w:rPr>
          <w:b/>
          <w:szCs w:val="28"/>
        </w:rPr>
      </w:pPr>
    </w:p>
    <w:p w14:paraId="5FF06650">
      <w:pPr>
        <w:jc w:val="center"/>
        <w:rPr>
          <w:b/>
          <w:szCs w:val="28"/>
        </w:rPr>
      </w:pPr>
    </w:p>
    <w:p w14:paraId="2491E19B">
      <w:pPr>
        <w:jc w:val="center"/>
        <w:rPr>
          <w:b/>
          <w:szCs w:val="28"/>
        </w:rPr>
      </w:pPr>
    </w:p>
    <w:p w14:paraId="0B88C949">
      <w:pPr>
        <w:jc w:val="center"/>
        <w:rPr>
          <w:b/>
          <w:szCs w:val="28"/>
        </w:rPr>
      </w:pPr>
    </w:p>
    <w:p w14:paraId="199E9E0F">
      <w:pPr>
        <w:jc w:val="center"/>
        <w:rPr>
          <w:b/>
          <w:szCs w:val="28"/>
        </w:rPr>
      </w:pPr>
    </w:p>
    <w:p w14:paraId="75226330">
      <w:pPr>
        <w:jc w:val="center"/>
        <w:rPr>
          <w:b/>
          <w:szCs w:val="28"/>
        </w:rPr>
      </w:pPr>
    </w:p>
    <w:p w14:paraId="43441C0D">
      <w:pPr>
        <w:jc w:val="center"/>
        <w:rPr>
          <w:b/>
          <w:szCs w:val="28"/>
        </w:rPr>
      </w:pPr>
    </w:p>
    <w:p w14:paraId="26F5030E">
      <w:pPr>
        <w:jc w:val="center"/>
        <w:rPr>
          <w:b/>
          <w:szCs w:val="28"/>
        </w:rPr>
      </w:pPr>
    </w:p>
    <w:p w14:paraId="2082EBE2">
      <w:pPr>
        <w:jc w:val="center"/>
        <w:rPr>
          <w:b/>
          <w:szCs w:val="28"/>
        </w:rPr>
      </w:pPr>
    </w:p>
    <w:p w14:paraId="599FEEA1">
      <w:pPr>
        <w:jc w:val="center"/>
        <w:rPr>
          <w:b/>
          <w:szCs w:val="28"/>
        </w:rPr>
      </w:pPr>
    </w:p>
    <w:p w14:paraId="679272CC">
      <w:pPr>
        <w:jc w:val="center"/>
        <w:rPr>
          <w:b/>
          <w:szCs w:val="28"/>
        </w:rPr>
      </w:pPr>
    </w:p>
    <w:p w14:paraId="784AF3EB">
      <w:pPr>
        <w:jc w:val="center"/>
        <w:rPr>
          <w:b/>
          <w:szCs w:val="28"/>
        </w:rPr>
      </w:pPr>
    </w:p>
    <w:p w14:paraId="6E7C6937">
      <w:pPr>
        <w:jc w:val="center"/>
        <w:rPr>
          <w:b/>
          <w:szCs w:val="28"/>
        </w:rPr>
      </w:pPr>
    </w:p>
    <w:p w14:paraId="35DD6415">
      <w:pPr>
        <w:jc w:val="center"/>
        <w:rPr>
          <w:b/>
          <w:szCs w:val="28"/>
        </w:rPr>
      </w:pPr>
    </w:p>
    <w:p w14:paraId="09555246">
      <w:pPr>
        <w:jc w:val="center"/>
        <w:rPr>
          <w:b/>
          <w:szCs w:val="28"/>
        </w:rPr>
      </w:pPr>
    </w:p>
    <w:p w14:paraId="2941F656">
      <w:pPr>
        <w:jc w:val="center"/>
        <w:rPr>
          <w:b/>
          <w:szCs w:val="28"/>
        </w:rPr>
      </w:pPr>
    </w:p>
    <w:p w14:paraId="62940FD7">
      <w:pPr>
        <w:jc w:val="center"/>
        <w:rPr>
          <w:b/>
          <w:szCs w:val="28"/>
        </w:rPr>
      </w:pPr>
    </w:p>
    <w:p w14:paraId="653099B3">
      <w:pPr>
        <w:jc w:val="center"/>
        <w:rPr>
          <w:b/>
          <w:szCs w:val="28"/>
        </w:rPr>
      </w:pPr>
    </w:p>
    <w:p w14:paraId="148545C4">
      <w:pPr>
        <w:jc w:val="center"/>
        <w:rPr>
          <w:b/>
          <w:szCs w:val="28"/>
        </w:rPr>
      </w:pPr>
    </w:p>
    <w:p w14:paraId="57D22C98">
      <w:pPr>
        <w:jc w:val="center"/>
        <w:rPr>
          <w:b/>
          <w:szCs w:val="28"/>
        </w:rPr>
      </w:pPr>
    </w:p>
    <w:p w14:paraId="3505AC7E">
      <w:pPr>
        <w:jc w:val="center"/>
        <w:rPr>
          <w:b/>
          <w:szCs w:val="28"/>
        </w:rPr>
      </w:pPr>
    </w:p>
    <w:p w14:paraId="35B73F7B">
      <w:pPr>
        <w:jc w:val="center"/>
        <w:rPr>
          <w:b/>
          <w:szCs w:val="28"/>
        </w:rPr>
      </w:pPr>
    </w:p>
    <w:p w14:paraId="520B2621">
      <w:pPr>
        <w:jc w:val="center"/>
        <w:rPr>
          <w:b/>
          <w:szCs w:val="28"/>
        </w:rPr>
      </w:pPr>
    </w:p>
    <w:p w14:paraId="10C28EAB">
      <w:pPr>
        <w:jc w:val="center"/>
        <w:rPr>
          <w:b/>
          <w:szCs w:val="28"/>
        </w:rPr>
      </w:pPr>
    </w:p>
    <w:p w14:paraId="12E7DEF6">
      <w:pPr>
        <w:jc w:val="center"/>
        <w:rPr>
          <w:b/>
          <w:szCs w:val="28"/>
        </w:rPr>
      </w:pPr>
      <w:r>
        <w:rPr>
          <w:b/>
          <w:szCs w:val="28"/>
        </w:rPr>
        <w:t>СОДЕРЖАНИЕ</w:t>
      </w:r>
    </w:p>
    <w:p w14:paraId="6461369E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\o "1-3" \h \z \u </w:instrText>
      </w:r>
      <w:r>
        <w:rPr>
          <w:szCs w:val="28"/>
        </w:rPr>
        <w:fldChar w:fldCharType="separate"/>
      </w:r>
      <w:r>
        <w:fldChar w:fldCharType="begin"/>
      </w:r>
      <w:r>
        <w:instrText xml:space="preserve"> HYPERLINK \l "_Toc408922360" </w:instrText>
      </w:r>
      <w:r>
        <w:fldChar w:fldCharType="separate"/>
      </w:r>
      <w:r>
        <w:rPr>
          <w:rStyle w:val="8"/>
        </w:rPr>
        <w:t>Введение</w:t>
      </w:r>
      <w:r>
        <w:tab/>
      </w:r>
      <w:r>
        <w:fldChar w:fldCharType="end"/>
      </w:r>
    </w:p>
    <w:p w14:paraId="00792E88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"_Toc408922361" </w:instrText>
      </w:r>
      <w:r>
        <w:fldChar w:fldCharType="separate"/>
      </w:r>
      <w:r>
        <w:rPr>
          <w:rStyle w:val="8"/>
          <w:b/>
        </w:rPr>
        <w:t>Раздел 1.</w:t>
      </w:r>
      <w:r>
        <w:rPr>
          <w:rStyle w:val="8"/>
        </w:rPr>
        <w:t xml:space="preserve"> Показатели перспективного спроса на тепловую энергию (мощность) и теплоноситель в установленных границах территории Чемодановского сельсовета..</w:t>
      </w:r>
      <w:r>
        <w:tab/>
      </w:r>
      <w:r>
        <w:fldChar w:fldCharType="end"/>
      </w:r>
    </w:p>
    <w:p w14:paraId="43FAD6CC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"_Toc408922362" </w:instrText>
      </w:r>
      <w:r>
        <w:fldChar w:fldCharType="separate"/>
      </w:r>
      <w:r>
        <w:rPr>
          <w:rStyle w:val="8"/>
          <w:b/>
        </w:rPr>
        <w:t>Раздел 2.</w:t>
      </w:r>
      <w:r>
        <w:rPr>
          <w:rStyle w:val="8"/>
        </w:rPr>
        <w:t xml:space="preserve"> Перспективные балансы располагаемой тепловой мощности источников тепловой энергии и тепловой нагрузки потребителей.</w:t>
      </w:r>
      <w:r>
        <w:tab/>
      </w:r>
      <w:r>
        <w:fldChar w:fldCharType="end"/>
      </w:r>
    </w:p>
    <w:p w14:paraId="090F1D37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"_Toc408922363" </w:instrText>
      </w:r>
      <w:r>
        <w:fldChar w:fldCharType="separate"/>
      </w:r>
      <w:r>
        <w:rPr>
          <w:rStyle w:val="8"/>
          <w:b/>
        </w:rPr>
        <w:t>Раздел 3.</w:t>
      </w:r>
      <w:r>
        <w:rPr>
          <w:rStyle w:val="8"/>
        </w:rPr>
        <w:t xml:space="preserve"> Перспективные балансы теплоносителя.</w:t>
      </w:r>
      <w:r>
        <w:tab/>
      </w:r>
      <w:r>
        <w:fldChar w:fldCharType="end"/>
      </w:r>
    </w:p>
    <w:p w14:paraId="23E08267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"_Toc408922364" </w:instrText>
      </w:r>
      <w:r>
        <w:fldChar w:fldCharType="separate"/>
      </w:r>
      <w:r>
        <w:rPr>
          <w:rStyle w:val="8"/>
          <w:b/>
        </w:rPr>
        <w:t>Раздел 4.</w:t>
      </w:r>
      <w:r>
        <w:rPr>
          <w:rStyle w:val="8"/>
        </w:rPr>
        <w:t xml:space="preserve"> Предложение по строительству, реконструкции и техническому перевооружению источников тепловой энергии.</w:t>
      </w:r>
      <w:r>
        <w:tab/>
      </w:r>
      <w:r>
        <w:fldChar w:fldCharType="end"/>
      </w:r>
    </w:p>
    <w:p w14:paraId="76F75E77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"_Toc408922365" </w:instrText>
      </w:r>
      <w:r>
        <w:fldChar w:fldCharType="separate"/>
      </w:r>
      <w:r>
        <w:rPr>
          <w:rStyle w:val="8"/>
          <w:b/>
        </w:rPr>
        <w:t xml:space="preserve">Раздел 5. </w:t>
      </w:r>
      <w:r>
        <w:rPr>
          <w:rStyle w:val="8"/>
        </w:rPr>
        <w:t>Предложение по строительству и реконструкции тепловых сетей.</w:t>
      </w:r>
      <w:r>
        <w:tab/>
      </w:r>
      <w:r>
        <w:fldChar w:fldCharType="end"/>
      </w:r>
    </w:p>
    <w:p w14:paraId="0AEFEC27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"_Toc408922366" </w:instrText>
      </w:r>
      <w:r>
        <w:fldChar w:fldCharType="separate"/>
      </w:r>
      <w:r>
        <w:rPr>
          <w:rStyle w:val="8"/>
          <w:b/>
        </w:rPr>
        <w:t xml:space="preserve">Раздел 6. </w:t>
      </w:r>
      <w:r>
        <w:rPr>
          <w:rStyle w:val="8"/>
        </w:rPr>
        <w:t>Перспективные топливные балансы.</w:t>
      </w:r>
      <w:r>
        <w:tab/>
      </w:r>
      <w:r>
        <w:fldChar w:fldCharType="end"/>
      </w:r>
    </w:p>
    <w:p w14:paraId="31433D74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"_Toc408922367" </w:instrText>
      </w:r>
      <w:r>
        <w:fldChar w:fldCharType="separate"/>
      </w:r>
      <w:r>
        <w:rPr>
          <w:rStyle w:val="8"/>
          <w:b/>
        </w:rPr>
        <w:t>Раздел 7.</w:t>
      </w:r>
      <w:r>
        <w:rPr>
          <w:rStyle w:val="8"/>
        </w:rPr>
        <w:t xml:space="preserve"> Инвестиции в строительство, реконструкцию и техническое перевооружение.</w:t>
      </w:r>
      <w:r>
        <w:tab/>
      </w:r>
      <w:r>
        <w:fldChar w:fldCharType="end"/>
      </w:r>
    </w:p>
    <w:p w14:paraId="7B996833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"_Toc408922368" </w:instrText>
      </w:r>
      <w:r>
        <w:fldChar w:fldCharType="separate"/>
      </w:r>
      <w:r>
        <w:rPr>
          <w:rStyle w:val="8"/>
          <w:b/>
        </w:rPr>
        <w:t>Раздел 8.</w:t>
      </w:r>
      <w:r>
        <w:rPr>
          <w:rStyle w:val="8"/>
        </w:rPr>
        <w:t xml:space="preserve"> Решение об определении единой теплоснабжающей организации (организаций).</w:t>
      </w:r>
      <w:r>
        <w:tab/>
      </w:r>
      <w:r>
        <w:fldChar w:fldCharType="end"/>
      </w:r>
    </w:p>
    <w:p w14:paraId="473F5D4B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"_Toc408922369" </w:instrText>
      </w:r>
      <w:r>
        <w:fldChar w:fldCharType="separate"/>
      </w:r>
      <w:r>
        <w:rPr>
          <w:rStyle w:val="8"/>
          <w:b/>
        </w:rPr>
        <w:t>Раздел 9.</w:t>
      </w:r>
      <w:r>
        <w:rPr>
          <w:rStyle w:val="8"/>
        </w:rPr>
        <w:t xml:space="preserve"> Решение о распределении тепловой энергии между источниками тепловой энергии.</w:t>
      </w:r>
      <w:r>
        <w:tab/>
      </w:r>
      <w:r>
        <w:fldChar w:fldCharType="end"/>
      </w:r>
    </w:p>
    <w:p w14:paraId="64EAEE52">
      <w:pPr>
        <w:pStyle w:val="15"/>
        <w:tabs>
          <w:tab w:val="right" w:leader="dot" w:pos="10195"/>
        </w:tabs>
        <w:rPr>
          <w:rFonts w:ascii="Calibri" w:hAnsi="Calibri" w:eastAsia="Times New Roman"/>
          <w:sz w:val="22"/>
          <w:lang w:eastAsia="ru-RU"/>
        </w:rPr>
      </w:pPr>
      <w:r>
        <w:fldChar w:fldCharType="begin"/>
      </w:r>
      <w:r>
        <w:instrText xml:space="preserve"> HYPERLINK \l "_Toc408922370" </w:instrText>
      </w:r>
      <w:r>
        <w:fldChar w:fldCharType="separate"/>
      </w:r>
      <w:r>
        <w:rPr>
          <w:rStyle w:val="8"/>
          <w:b/>
        </w:rPr>
        <w:t xml:space="preserve">Раздел 10. </w:t>
      </w:r>
      <w:r>
        <w:rPr>
          <w:rStyle w:val="8"/>
        </w:rPr>
        <w:t>Решения по бесхозяйным тепловым сетям.</w:t>
      </w:r>
      <w:r>
        <w:tab/>
      </w:r>
      <w:r>
        <w:fldChar w:fldCharType="end"/>
      </w:r>
    </w:p>
    <w:p w14:paraId="23C5A518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rPr>
          <w:szCs w:val="28"/>
        </w:rPr>
        <w:fldChar w:fldCharType="end"/>
      </w:r>
      <w:r>
        <w:fldChar w:fldCharType="begin"/>
      </w:r>
      <w:r>
        <w:instrText xml:space="preserve"> HYPERLINK \l "_Toc245283" </w:instrText>
      </w:r>
      <w:r>
        <w:fldChar w:fldCharType="separate"/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11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«Существующее положение в сфере производства, передачи и потребления тепловой энергии для целей теплоснабжения»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705B535F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"_Toc245296" </w:instrText>
      </w:r>
      <w:r>
        <w:fldChar w:fldCharType="separate"/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12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«Существующие и перспективное потребление тепловой энергии на цели теплоснабжения»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7A9A528D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"_Toc245298"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13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«Существующие и перспективные балансы тепловой мощности источников тепловой энергии и тепловой нагрузки»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D5DF2EC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"_Toc245299"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14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«Мастер-план развития систем теплоснабжения поселения»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83CF969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"_Toc245300"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15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6391B66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"_Toc245301"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16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«Предложения по строительству, реконструкции и техническому перевооружению источников тепловой энергии»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7DCBAE5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"_Toc245302"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17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«Предложения по строительству и реконструкции тепловых сетей и сооружений на них»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49FACECA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"_Toc245303"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18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«Оценка надежности теплоснабжения»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35DBEEEE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"_Toc245304"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19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«Обоснование инвистиций в строительство, реконструкцию и техническое перевооружение»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5169E83E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"_Toc245305"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 20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Индикаторы развития систем теплоснабжения поселения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66FF6CCF">
      <w:pPr>
        <w:pStyle w:val="15"/>
        <w:tabs>
          <w:tab w:val="right" w:leader="dot" w:pos="10195"/>
        </w:tabs>
        <w:rPr>
          <w:rFonts w:ascii="Calibri" w:hAnsi="Calibri" w:eastAsia="Times New Roman"/>
          <w:color w:val="000000" w:themeColor="text1"/>
          <w:sz w:val="22"/>
          <w:lang w:eastAsia="ru-RU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"_Toc245306"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 21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Ценовые (тарифные) последствия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ab/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6FFE3CAE">
      <w:pPr>
        <w:pStyle w:val="15"/>
        <w:tabs>
          <w:tab w:val="right" w:leader="dot" w:pos="10195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"_Toc245307" </w:instrText>
      </w:r>
      <w:r>
        <w:fldChar w:fldCharType="separate"/>
      </w:r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>Раздел 22</w:t>
      </w:r>
      <w:r>
        <w:rPr>
          <w:rStyle w:val="8"/>
          <w:color w:val="000000" w:themeColor="text1"/>
          <w:u w:val="none"/>
          <w14:textFill>
            <w14:solidFill>
              <w14:schemeClr w14:val="tx1"/>
            </w14:solidFill>
          </w14:textFill>
        </w:rPr>
        <w:t>. «Перспективные топливные балансы»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DCA950C">
      <w:r>
        <w:t xml:space="preserve"> </w:t>
      </w:r>
      <w:r>
        <w:rPr>
          <w:rStyle w:val="8"/>
          <w:b/>
          <w:color w:val="000000" w:themeColor="text1"/>
          <w:u w:val="none"/>
          <w14:textFill>
            <w14:solidFill>
              <w14:schemeClr w14:val="tx1"/>
            </w14:solidFill>
          </w14:textFill>
        </w:rPr>
        <w:t xml:space="preserve">Раздел 23. </w:t>
      </w:r>
      <w:r>
        <w:t>Реестр единых теплоснабжающих организаций…………………………….</w:t>
      </w:r>
      <w:r>
        <w:tab/>
      </w:r>
    </w:p>
    <w:p w14:paraId="2643E2B6">
      <w:pPr>
        <w:pStyle w:val="25"/>
        <w:spacing w:after="0"/>
        <w:outlineLvl w:val="9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55D1DB6">
      <w:pPr>
        <w:pStyle w:val="25"/>
        <w:spacing w:after="0"/>
        <w:outlineLvl w:val="9"/>
      </w:pPr>
    </w:p>
    <w:p w14:paraId="30498E6F"/>
    <w:p w14:paraId="10E9FE76"/>
    <w:p w14:paraId="7BD3A8F0"/>
    <w:p w14:paraId="0205089C"/>
    <w:p w14:paraId="1628013F"/>
    <w:p w14:paraId="17C486B0">
      <w:pPr>
        <w:pStyle w:val="2"/>
      </w:pPr>
      <w:bookmarkStart w:id="0" w:name="_Toc408922360"/>
    </w:p>
    <w:p w14:paraId="696FCC47"/>
    <w:p w14:paraId="00FC9E6E">
      <w:pPr>
        <w:pStyle w:val="2"/>
      </w:pPr>
    </w:p>
    <w:p w14:paraId="7656A53E"/>
    <w:p w14:paraId="750E4012"/>
    <w:p w14:paraId="3EBCE45B"/>
    <w:p w14:paraId="6F914D99"/>
    <w:p w14:paraId="345ADEEB"/>
    <w:p w14:paraId="1D26AC6C"/>
    <w:p w14:paraId="6FB176E9"/>
    <w:p w14:paraId="062BB405"/>
    <w:p w14:paraId="55A5E288"/>
    <w:p w14:paraId="57F05685"/>
    <w:p w14:paraId="3A34015C"/>
    <w:p w14:paraId="7825067A"/>
    <w:p w14:paraId="3F767147"/>
    <w:p w14:paraId="3DE48D7B"/>
    <w:p w14:paraId="0414759D">
      <w:pPr>
        <w:suppressAutoHyphens/>
      </w:pPr>
    </w:p>
    <w:p w14:paraId="1FF0B7EB">
      <w:pPr>
        <w:pStyle w:val="2"/>
        <w:suppressAutoHyphens/>
      </w:pPr>
      <w:r>
        <w:t>Введение</w:t>
      </w:r>
      <w:bookmarkEnd w:id="0"/>
    </w:p>
    <w:p w14:paraId="70CC6877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с. Чемодановка, в первую очередь его градостроительной деятельности. </w:t>
      </w:r>
    </w:p>
    <w:p w14:paraId="6CD0A2FA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села принята практика составления перспективных схем теплоснабжения.</w:t>
      </w:r>
    </w:p>
    <w:p w14:paraId="1B093381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Схемы разрабатываются на основе анализа фактических тепловых нагрузок потребителей с учётом перспективного развития на 10 лет, структуры топливного баланса,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14:paraId="4B0997E1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путем оценки их сравнительной эффективности по критерию минимума суммарных дисконтированных затрат.</w:t>
      </w:r>
    </w:p>
    <w:p w14:paraId="4A147F89">
      <w:pPr>
        <w:suppressAutoHyphens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0F6D7AB9">
      <w:pPr>
        <w:pStyle w:val="2"/>
        <w:suppressAutoHyphens/>
        <w:rPr>
          <w:b w:val="0"/>
          <w:bCs w:val="0"/>
        </w:rPr>
      </w:pPr>
      <w:bookmarkStart w:id="1" w:name="_Toc336351627"/>
      <w:bookmarkStart w:id="2" w:name="_Toc408922361"/>
    </w:p>
    <w:p w14:paraId="7609B769">
      <w:pPr>
        <w:suppressAutoHyphens/>
        <w:rPr>
          <w:szCs w:val="28"/>
        </w:rPr>
      </w:pPr>
    </w:p>
    <w:p w14:paraId="6DCE3DCA">
      <w:pPr>
        <w:pStyle w:val="2"/>
        <w:suppressAutoHyphens/>
        <w:rPr>
          <w:b w:val="0"/>
          <w:bCs w:val="0"/>
        </w:rPr>
      </w:pPr>
    </w:p>
    <w:p w14:paraId="1C2557F6">
      <w:pPr>
        <w:pStyle w:val="2"/>
        <w:suppressAutoHyphens/>
        <w:rPr>
          <w:bCs w:val="0"/>
        </w:rPr>
      </w:pPr>
      <w:r>
        <w:rPr>
          <w:bCs w:val="0"/>
        </w:rPr>
        <w:t>Раздел 1. Показатели перспективного спроса на тепловую энергию (мощность) и теплоноситель</w:t>
      </w:r>
      <w:bookmarkEnd w:id="1"/>
      <w:bookmarkEnd w:id="2"/>
      <w:r>
        <w:rPr>
          <w:bCs w:val="0"/>
        </w:rPr>
        <w:t>.</w:t>
      </w:r>
    </w:p>
    <w:p w14:paraId="5FAC294B">
      <w:pPr>
        <w:pStyle w:val="2"/>
        <w:suppressAutoHyphens/>
        <w:rPr>
          <w:sz w:val="24"/>
          <w:szCs w:val="24"/>
        </w:rPr>
      </w:pPr>
      <w:r>
        <w:rPr>
          <w:sz w:val="24"/>
          <w:szCs w:val="24"/>
        </w:rPr>
        <w:t>Данные по приросту жилого фонда и соцкультбыта по годам в первые два года, представлены ниже в таблице.</w:t>
      </w:r>
    </w:p>
    <w:p w14:paraId="6AB91389">
      <w:pPr>
        <w:suppressAutoHyphens/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1.1.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10"/>
        <w:gridCol w:w="761"/>
        <w:gridCol w:w="1556"/>
        <w:gridCol w:w="1271"/>
        <w:gridCol w:w="1271"/>
        <w:gridCol w:w="1040"/>
        <w:gridCol w:w="1272"/>
        <w:gridCol w:w="1272"/>
        <w:gridCol w:w="1223"/>
      </w:tblGrid>
      <w:tr w14:paraId="1FDA5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7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592F612F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66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9B02FEE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Строительство новых объектов жилого фонда, объектов соцкультбыта, м2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72B677F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строящиеся здания, Гкал/час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72E4927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строящихся зданий, Гкал/год</w:t>
            </w:r>
          </w:p>
        </w:tc>
        <w:tc>
          <w:tcPr>
            <w:tcW w:w="54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5B94B16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Снос ветхого и аварийного жилищного фонда, м2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08276BD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сносимые здания, Гкал/час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812124C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сносимых зданий, Гкал/год</w:t>
            </w:r>
          </w:p>
        </w:tc>
        <w:tc>
          <w:tcPr>
            <w:tcW w:w="51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85494B9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     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(снижение) нагрузки на систему отопления Гкал/год</w:t>
            </w:r>
          </w:p>
        </w:tc>
      </w:tr>
      <w:tr w14:paraId="3A9FD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153C0531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10Мвт</w:t>
            </w:r>
          </w:p>
        </w:tc>
      </w:tr>
      <w:tr w14:paraId="419D7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btLr"/>
            <w:vAlign w:val="bottom"/>
          </w:tcPr>
          <w:p w14:paraId="2250DBC7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90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30C1ED0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306C9E8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67CB9E6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9F4869F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4DD41F9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738E0D8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C16B42F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E0B3043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E47553A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14:paraId="4AD5C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127657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F6C335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4FA516C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212545B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43B02C6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6E625FE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64C66BA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C0DC529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7519CB3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0F53A99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14:paraId="2E1D0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9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5961D5B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F0D604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44F4CDE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144AC66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296B766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B067E94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332A1ED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87AB061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5CD4451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EC2B16B">
            <w:pPr>
              <w:suppressAutoHyphens/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2BD9C30C">
      <w:pPr>
        <w:pStyle w:val="2"/>
        <w:suppressAutoHyphens/>
      </w:pPr>
      <w:bookmarkStart w:id="3" w:name="_Toc336351628"/>
      <w:bookmarkStart w:id="4" w:name="_Toc408922362"/>
      <w:r>
        <w:t>Раздел 2. Перспективные балансы располагаемой тепловой мощности источников тепловой энергии и тепловой нагрузки потребителей</w:t>
      </w:r>
      <w:bookmarkEnd w:id="3"/>
      <w:r>
        <w:t>.</w:t>
      </w:r>
      <w:bookmarkEnd w:id="4"/>
    </w:p>
    <w:p w14:paraId="5C1C7255">
      <w:pPr>
        <w:suppressAutoHyphens/>
        <w:rPr>
          <w:b/>
        </w:rPr>
      </w:pPr>
      <w:r>
        <w:rPr>
          <w:b/>
        </w:rPr>
        <w:t xml:space="preserve">2.1. </w:t>
      </w:r>
      <w:r>
        <w:t>Модульная автономная котельная 10 Мвт с. Чемодановка</w:t>
      </w:r>
    </w:p>
    <w:p w14:paraId="4A5B11F3">
      <w:pPr>
        <w:suppressAutoHyphens/>
        <w:spacing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2.1.</w:t>
      </w:r>
    </w:p>
    <w:tbl>
      <w:tblPr>
        <w:tblStyle w:val="6"/>
        <w:tblW w:w="493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7056"/>
        <w:gridCol w:w="2061"/>
      </w:tblGrid>
      <w:tr w14:paraId="196B6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86C6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1833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10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C0DD5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2023 -2025</w:t>
            </w:r>
          </w:p>
        </w:tc>
      </w:tr>
      <w:tr w14:paraId="654FE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DBD4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3DBD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тепловая мощность 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560D0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8,53</w:t>
            </w:r>
          </w:p>
        </w:tc>
      </w:tr>
      <w:tr w14:paraId="6A994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2639B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0980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тепловой мощности,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4553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14:paraId="714C7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A3EE2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B309B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тепловая мощность,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46F3E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8,53</w:t>
            </w:r>
          </w:p>
        </w:tc>
      </w:tr>
      <w:tr w14:paraId="05A41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CF538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817EC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мощность, потребляемая котельной на собственные нужды,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A8383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0,12</w:t>
            </w:r>
          </w:p>
        </w:tc>
      </w:tr>
      <w:tr w14:paraId="40A9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C0546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2F7B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Тепловые потери в сетях,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048A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0,30</w:t>
            </w:r>
          </w:p>
        </w:tc>
      </w:tr>
      <w:tr w14:paraId="34CE5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7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A94C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79EB3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Расчетная подключенная нагрузка потребителей, Гкал/час</w:t>
            </w:r>
          </w:p>
        </w:tc>
        <w:tc>
          <w:tcPr>
            <w:tcW w:w="10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2DEA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7,6098</w:t>
            </w:r>
          </w:p>
        </w:tc>
      </w:tr>
    </w:tbl>
    <w:p w14:paraId="6A1E95C8">
      <w:pPr>
        <w:suppressAutoHyphens/>
        <w:rPr>
          <w:b/>
        </w:rPr>
      </w:pPr>
    </w:p>
    <w:p w14:paraId="32650302">
      <w:pPr>
        <w:suppressAutoHyphens/>
      </w:pPr>
    </w:p>
    <w:p w14:paraId="68312609">
      <w:pPr>
        <w:pStyle w:val="2"/>
        <w:suppressAutoHyphens/>
      </w:pPr>
      <w:bookmarkStart w:id="5" w:name="_Toc408922363"/>
      <w:r>
        <w:t>Раздел 3. Перспективные балансы теплоносителя.</w:t>
      </w:r>
      <w:bookmarkEnd w:id="5"/>
    </w:p>
    <w:p w14:paraId="408D1DF5">
      <w:pPr>
        <w:suppressAutoHyphens/>
        <w:spacing w:before="120"/>
        <w:ind w:firstLine="567"/>
      </w:pPr>
      <w:r>
        <w:t>Согласно приложению №23 СНиП  2.04.07-86* "Тепловые сети":</w:t>
      </w:r>
    </w:p>
    <w:p w14:paraId="00C30F0F">
      <w:pPr>
        <w:suppressAutoHyphens/>
        <w:ind w:firstLine="567"/>
      </w:pPr>
      <w:r>
        <w:t xml:space="preserve">- 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 </w:t>
      </w:r>
    </w:p>
    <w:p w14:paraId="562557C3">
      <w:pPr>
        <w:suppressAutoHyphens/>
        <w:ind w:firstLine="567"/>
      </w:pPr>
      <w:r>
        <w:t>- объем воды в системах теплоснабжения при отсутствии данных по фактическим объемам воды допускается принимать равным 65 м</w:t>
      </w:r>
      <w:r>
        <w:rPr>
          <w:vertAlign w:val="superscript"/>
        </w:rPr>
        <w:t>3</w:t>
      </w:r>
      <w:r>
        <w:t xml:space="preserve"> на 1 МВт расчетного теплового потока при закрытой системе теплоснабжения.</w:t>
      </w:r>
    </w:p>
    <w:p w14:paraId="71A4BF36">
      <w:pPr>
        <w:suppressAutoHyphens/>
        <w:ind w:firstLine="567"/>
      </w:pPr>
      <w:r>
        <w:t>Расходы теплоносителя на подпитку тепловой сети на основные этапы разработки схемы теплоснабжения по каждому из вариантов представлены в таблице 3.1.</w:t>
      </w:r>
    </w:p>
    <w:p w14:paraId="58486B15">
      <w:pPr>
        <w:suppressAutoHyphens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3.1.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3860"/>
        <w:gridCol w:w="2409"/>
        <w:gridCol w:w="2897"/>
      </w:tblGrid>
      <w:tr w14:paraId="4224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02" w:type="pct"/>
            <w:shd w:val="clear" w:color="auto" w:fill="auto"/>
            <w:vAlign w:val="center"/>
          </w:tcPr>
          <w:p w14:paraId="6D40F731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52" w:type="pct"/>
            <w:shd w:val="clear" w:color="auto" w:fill="auto"/>
            <w:vAlign w:val="center"/>
          </w:tcPr>
          <w:p w14:paraId="70580896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7C4E5102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воды в системе, 2023-2025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6386B6EE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Подпитка, 2023-2025</w:t>
            </w:r>
          </w:p>
        </w:tc>
      </w:tr>
      <w:tr w14:paraId="28DA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2" w:type="pct"/>
            <w:shd w:val="clear" w:color="auto" w:fill="auto"/>
            <w:vAlign w:val="center"/>
          </w:tcPr>
          <w:p w14:paraId="157592FD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52" w:type="pct"/>
            <w:shd w:val="clear" w:color="auto" w:fill="auto"/>
            <w:vAlign w:val="center"/>
          </w:tcPr>
          <w:p w14:paraId="5A94AF07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Модульная автономная котельная 10 Мвт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150B8573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454,5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760B4173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</w:tbl>
    <w:p w14:paraId="6CFF9B4F">
      <w:pPr>
        <w:suppressAutoHyphens/>
      </w:pPr>
    </w:p>
    <w:p w14:paraId="24F607DB">
      <w:pPr>
        <w:pStyle w:val="2"/>
        <w:suppressAutoHyphens/>
      </w:pPr>
      <w:bookmarkStart w:id="6" w:name="_Toc336351630"/>
      <w:bookmarkStart w:id="7" w:name="_Toc408922364"/>
      <w:r>
        <w:t>Раздел 4. Предложение по строительству, реконструкции и техническому перевооружению источников тепловой энергии</w:t>
      </w:r>
      <w:bookmarkEnd w:id="6"/>
      <w:r>
        <w:t>.</w:t>
      </w:r>
      <w:bookmarkEnd w:id="7"/>
    </w:p>
    <w:p w14:paraId="0D98349A">
      <w:pPr>
        <w:suppressAutoHyphens/>
        <w:ind w:firstLine="567"/>
      </w:pPr>
      <w:r>
        <w:t>Планируется проведение следующих мероприятий по ремонту, реконструкции и техническому перевооружению источников тепловой энергии:</w:t>
      </w:r>
    </w:p>
    <w:p w14:paraId="2326BBD5">
      <w:pPr>
        <w:suppressAutoHyphens/>
        <w:spacing w:line="240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4.1.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2407"/>
        <w:gridCol w:w="4124"/>
        <w:gridCol w:w="1496"/>
        <w:gridCol w:w="1871"/>
      </w:tblGrid>
      <w:tr w14:paraId="6FBD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 w14:paraId="2000A396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07" w:type="dxa"/>
            <w:vAlign w:val="center"/>
          </w:tcPr>
          <w:p w14:paraId="539076BA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4124" w:type="dxa"/>
            <w:vAlign w:val="center"/>
          </w:tcPr>
          <w:p w14:paraId="6827911D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496" w:type="dxa"/>
            <w:vAlign w:val="center"/>
          </w:tcPr>
          <w:p w14:paraId="50F6F3AE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 реализации</w:t>
            </w:r>
          </w:p>
        </w:tc>
        <w:tc>
          <w:tcPr>
            <w:tcW w:w="1871" w:type="dxa"/>
            <w:vAlign w:val="center"/>
          </w:tcPr>
          <w:p w14:paraId="2CEF3480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Ориентировочная стоимость, млн. руб</w:t>
            </w:r>
          </w:p>
        </w:tc>
      </w:tr>
      <w:tr w14:paraId="3F21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 w14:paraId="636B7F6C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407" w:type="dxa"/>
            <w:vAlign w:val="center"/>
          </w:tcPr>
          <w:p w14:paraId="2E044926">
            <w:pPr>
              <w:suppressAutoHyphens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 Мвт с. Чемодановка</w:t>
            </w:r>
          </w:p>
        </w:tc>
        <w:tc>
          <w:tcPr>
            <w:tcW w:w="4124" w:type="dxa"/>
            <w:vAlign w:val="center"/>
          </w:tcPr>
          <w:p w14:paraId="7576F465">
            <w:pPr>
              <w:pStyle w:val="32"/>
              <w:suppressAutoHyphens/>
              <w:ind w:left="0"/>
              <w:contextualSpacing w:val="0"/>
              <w:jc w:val="left"/>
              <w:rPr>
                <w:rFonts w:ascii="Times New Roman" w:hAnsi="Times New Roman" w:eastAsia="Calibr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color w:val="auto"/>
                <w:sz w:val="20"/>
                <w:szCs w:val="20"/>
              </w:rPr>
              <w:t>Реконструкция котельной, установка частотных преобразователей</w:t>
            </w:r>
          </w:p>
        </w:tc>
        <w:tc>
          <w:tcPr>
            <w:tcW w:w="1496" w:type="dxa"/>
            <w:vAlign w:val="center"/>
          </w:tcPr>
          <w:p w14:paraId="6F8AAC5E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2024-2025</w:t>
            </w:r>
          </w:p>
        </w:tc>
        <w:tc>
          <w:tcPr>
            <w:tcW w:w="1871" w:type="dxa"/>
            <w:vAlign w:val="center"/>
          </w:tcPr>
          <w:p w14:paraId="36037EB8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0,087</w:t>
            </w:r>
          </w:p>
        </w:tc>
      </w:tr>
      <w:tr w14:paraId="25BB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 w14:paraId="78C7680D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4EFBC20">
            <w:pPr>
              <w:suppressAutoHyphens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4124" w:type="dxa"/>
            <w:vAlign w:val="center"/>
          </w:tcPr>
          <w:p w14:paraId="4C10E5C6">
            <w:pPr>
              <w:pStyle w:val="32"/>
              <w:suppressAutoHyphens/>
              <w:ind w:left="0"/>
              <w:contextualSpacing w:val="0"/>
              <w:jc w:val="left"/>
              <w:rPr>
                <w:rFonts w:ascii="Times New Roman" w:hAnsi="Times New Roman" w:eastAsia="Calibri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Calibri"/>
                <w:color w:val="auto"/>
                <w:sz w:val="20"/>
                <w:szCs w:val="20"/>
              </w:rPr>
              <w:t>Установка системы видеонаблюдения</w:t>
            </w:r>
          </w:p>
        </w:tc>
        <w:tc>
          <w:tcPr>
            <w:tcW w:w="1496" w:type="dxa"/>
            <w:vAlign w:val="center"/>
          </w:tcPr>
          <w:p w14:paraId="3F4BC814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871" w:type="dxa"/>
            <w:vAlign w:val="center"/>
          </w:tcPr>
          <w:p w14:paraId="5947775D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0,015</w:t>
            </w:r>
          </w:p>
        </w:tc>
      </w:tr>
      <w:tr w14:paraId="6E75B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vAlign w:val="center"/>
          </w:tcPr>
          <w:p w14:paraId="13AD144A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71F01EC4">
            <w:pPr>
              <w:suppressAutoHyphens/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4124" w:type="dxa"/>
            <w:vAlign w:val="center"/>
          </w:tcPr>
          <w:p w14:paraId="23D934C6">
            <w:pPr>
              <w:pStyle w:val="32"/>
              <w:suppressAutoHyphens/>
              <w:ind w:left="0"/>
              <w:contextualSpacing w:val="0"/>
              <w:jc w:val="center"/>
              <w:rPr>
                <w:rFonts w:ascii="Times New Roman" w:hAnsi="Times New Roman" w:eastAsia="Calibri"/>
                <w:color w:val="auto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5ECA553D">
            <w:pPr>
              <w:suppressAutoHyphens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1334DFAD">
            <w:pPr>
              <w:suppressAutoHyphen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0,102</w:t>
            </w:r>
          </w:p>
        </w:tc>
      </w:tr>
    </w:tbl>
    <w:p w14:paraId="34745CE4">
      <w:pPr>
        <w:pStyle w:val="2"/>
        <w:suppressAutoHyphens/>
      </w:pPr>
      <w:bookmarkStart w:id="8" w:name="_Toc336351631"/>
      <w:bookmarkStart w:id="9" w:name="_Toc408922365"/>
      <w:r>
        <w:t>Раздел 5. Предложение по строительству и реконструкции тепловых сетей</w:t>
      </w:r>
      <w:bookmarkEnd w:id="8"/>
      <w:r>
        <w:t>.</w:t>
      </w:r>
      <w:bookmarkEnd w:id="9"/>
    </w:p>
    <w:p w14:paraId="6F1C6893">
      <w:pPr>
        <w:suppressAutoHyphens/>
        <w:ind w:firstLine="567"/>
      </w:pPr>
      <w:r>
        <w:t>Основные мероприятия по строительству и реконструкции тепловых сетей представлены в таблице 5.1.</w:t>
      </w:r>
    </w:p>
    <w:p w14:paraId="2FE4AFC3">
      <w:pPr>
        <w:suppressAutoHyphens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5.1.</w:t>
      </w:r>
    </w:p>
    <w:tbl>
      <w:tblPr>
        <w:tblStyle w:val="6"/>
        <w:tblW w:w="476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54"/>
        <w:gridCol w:w="1698"/>
        <w:gridCol w:w="1871"/>
      </w:tblGrid>
      <w:tr w14:paraId="6B096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41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379617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79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5F0C9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8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730F62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94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21FD91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Ориентировочная стоимость, млн.руб.</w:t>
            </w:r>
          </w:p>
        </w:tc>
      </w:tr>
      <w:tr w14:paraId="0D2CC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411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35262F4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B24D9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Частичная Замена существующей тепловой изоляции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2B17C7D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2023-2025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E019137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0,234</w:t>
            </w:r>
          </w:p>
        </w:tc>
      </w:tr>
      <w:tr w14:paraId="5FE72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41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0BE387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24567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15AAFC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4D4F46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1BA9A30">
      <w:pPr>
        <w:suppressAutoHyphens/>
        <w:jc w:val="right"/>
        <w:rPr>
          <w:b/>
          <w:sz w:val="20"/>
          <w:szCs w:val="20"/>
        </w:rPr>
      </w:pPr>
    </w:p>
    <w:p w14:paraId="2EB9F4D0">
      <w:pPr>
        <w:pStyle w:val="2"/>
        <w:suppressAutoHyphens/>
      </w:pPr>
      <w:bookmarkStart w:id="10" w:name="_Toc408922366"/>
      <w:r>
        <w:t>Раздел 6. Перспективные топливные балансы.</w:t>
      </w:r>
      <w:bookmarkEnd w:id="10"/>
    </w:p>
    <w:p w14:paraId="2EF18D14">
      <w:pPr>
        <w:suppressAutoHyphens/>
        <w:ind w:firstLine="567"/>
      </w:pPr>
      <w:r>
        <w:t>Основным топливом для модульной котельной будет оставаться природный горючий газ. Перспективные топливные балансы представлены в таблице 6.1.</w:t>
      </w:r>
    </w:p>
    <w:p w14:paraId="03BE16FB">
      <w:pPr>
        <w:suppressAutoHyphens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6.1.</w:t>
      </w:r>
    </w:p>
    <w:tbl>
      <w:tblPr>
        <w:tblStyle w:val="6"/>
        <w:tblW w:w="496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030"/>
        <w:gridCol w:w="2807"/>
        <w:gridCol w:w="2842"/>
      </w:tblGrid>
      <w:tr w14:paraId="74EF8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43F13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495F8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котельной</w:t>
            </w:r>
          </w:p>
        </w:tc>
        <w:tc>
          <w:tcPr>
            <w:tcW w:w="13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AA0B4E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Потребление топлива 2023, 1000/м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80A2BA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Потребление топлива 2024, 1000/м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14:paraId="5872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2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486ED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8E6C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 Мвт с. Чемодановка</w:t>
            </w:r>
          </w:p>
        </w:tc>
        <w:tc>
          <w:tcPr>
            <w:tcW w:w="13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0801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1531,455</w:t>
            </w:r>
          </w:p>
        </w:tc>
        <w:tc>
          <w:tcPr>
            <w:tcW w:w="13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1F28B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1546,26</w:t>
            </w:r>
          </w:p>
        </w:tc>
      </w:tr>
    </w:tbl>
    <w:p w14:paraId="3E73569D">
      <w:pPr>
        <w:suppressAutoHyphens/>
      </w:pPr>
    </w:p>
    <w:p w14:paraId="69CEA098">
      <w:pPr>
        <w:pStyle w:val="2"/>
        <w:suppressAutoHyphens/>
      </w:pPr>
      <w:bookmarkStart w:id="11" w:name="_Toc336351633"/>
      <w:bookmarkStart w:id="12" w:name="_Toc408922367"/>
      <w:r>
        <w:t>Раздел 7. Инвестиции в строительство, реконструкцию и техническое перевооружение</w:t>
      </w:r>
      <w:bookmarkEnd w:id="11"/>
      <w:r>
        <w:t>.</w:t>
      </w:r>
      <w:bookmarkEnd w:id="12"/>
    </w:p>
    <w:p w14:paraId="36F3E613">
      <w:pPr>
        <w:suppressAutoHyphens/>
        <w:ind w:firstLine="567"/>
      </w:pPr>
      <w:r>
        <w:t>Потребности в инвестициях для каждого этапа действия схемы теплоснабжения представлены в таблице 7.1.</w:t>
      </w:r>
    </w:p>
    <w:p w14:paraId="45CE2E3C">
      <w:pPr>
        <w:suppressAutoHyphens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7.1.</w:t>
      </w:r>
    </w:p>
    <w:tbl>
      <w:tblPr>
        <w:tblStyle w:val="6"/>
        <w:tblW w:w="494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4466"/>
        <w:gridCol w:w="1644"/>
        <w:gridCol w:w="1644"/>
        <w:gridCol w:w="1314"/>
      </w:tblGrid>
      <w:tr w14:paraId="5B425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603" w:type="pc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bottom"/>
          </w:tcPr>
          <w:p w14:paraId="11D08AA4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66" w:type="pc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bottom"/>
          </w:tcPr>
          <w:p w14:paraId="08637D10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затрат, млн. руб.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BC18D3A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2020-2023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B53CFAB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637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952DF03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</w:tr>
      <w:tr w14:paraId="6A14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AB926DC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6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C147DBE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Источники тепловой энергии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928C83A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C96299E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7C7765A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0,085</w:t>
            </w:r>
          </w:p>
        </w:tc>
      </w:tr>
      <w:tr w14:paraId="3D06C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5F66903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9274C29">
            <w:pPr>
              <w:suppressAutoHyphens/>
              <w:spacing w:line="240" w:lineRule="auto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Тепловые сети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3A1CA4F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DB3E00">
            <w:pPr>
              <w:suppressAutoHyphens/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5E63EE0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0,234</w:t>
            </w:r>
          </w:p>
        </w:tc>
      </w:tr>
      <w:tr w14:paraId="14F82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7DA87CA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5983996">
            <w:pPr>
              <w:suppressAutoHyphens/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BE5E3DE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D639437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0,319</w:t>
            </w:r>
          </w:p>
        </w:tc>
        <w:tc>
          <w:tcPr>
            <w:tcW w:w="63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039D049">
            <w:pPr>
              <w:suppressAutoHyphens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0,319</w:t>
            </w:r>
          </w:p>
        </w:tc>
      </w:tr>
    </w:tbl>
    <w:p w14:paraId="0FDE7B99">
      <w:pPr>
        <w:pStyle w:val="2"/>
        <w:suppressAutoHyphens/>
      </w:pPr>
      <w:bookmarkStart w:id="13" w:name="_Toc336351634"/>
      <w:bookmarkStart w:id="14" w:name="_Toc408922368"/>
      <w:r>
        <w:t>Раздел 8. Решение об определении единой теплоснабжающей организации (организаций)</w:t>
      </w:r>
      <w:bookmarkEnd w:id="13"/>
      <w:r>
        <w:t>.</w:t>
      </w:r>
      <w:bookmarkEnd w:id="14"/>
    </w:p>
    <w:p w14:paraId="65385779">
      <w:pPr>
        <w:suppressAutoHyphens/>
        <w:ind w:firstLine="567"/>
      </w:pPr>
      <w:r>
        <w:t>На основании решения комитета местного самоуправления Чемодановского сельсовета от 16 июля 2019г. № 536/1-146/6, в качестве единой теплоснабжающей организации на территории села Чемодановки является ООО «ТЕПЛОВДОМ»</w:t>
      </w:r>
    </w:p>
    <w:p w14:paraId="3D80B451">
      <w:pPr>
        <w:suppressAutoHyphens/>
        <w:ind w:firstLine="567"/>
      </w:pPr>
      <w:r>
        <w:t>Критерии определения единой теплоснабжающей организации:</w:t>
      </w:r>
    </w:p>
    <w:p w14:paraId="0D926ED5">
      <w:pPr>
        <w:suppressAutoHyphens/>
        <w:ind w:firstLine="567"/>
      </w:pPr>
      <w:r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45B287F8">
      <w:pPr>
        <w:suppressAutoHyphens/>
        <w:ind w:firstLine="567"/>
      </w:pPr>
      <w:r>
        <w:t>ООО «ТЕПЛОВДОМ» отвечает необходимым требованиям организаций претендующей на статус единой теплоснабжающей организации.</w:t>
      </w:r>
    </w:p>
    <w:p w14:paraId="6D16FD79">
      <w:pPr>
        <w:suppressAutoHyphens/>
      </w:pPr>
    </w:p>
    <w:p w14:paraId="2606F6A2">
      <w:pPr>
        <w:pStyle w:val="2"/>
        <w:suppressAutoHyphens/>
      </w:pPr>
      <w:bookmarkStart w:id="15" w:name="_Toc336351635"/>
      <w:bookmarkStart w:id="16" w:name="_Toc408922369"/>
      <w:r>
        <w:t>Раздел 9. Решение о распределении тепловой энергии между источниками тепловой энергии</w:t>
      </w:r>
      <w:bookmarkEnd w:id="15"/>
      <w:r>
        <w:t>.</w:t>
      </w:r>
      <w:bookmarkEnd w:id="16"/>
    </w:p>
    <w:p w14:paraId="74305913">
      <w:pPr>
        <w:suppressAutoHyphens/>
        <w:ind w:firstLine="567"/>
      </w:pPr>
      <w:bookmarkStart w:id="17" w:name="_Toc336351636"/>
      <w:bookmarkStart w:id="18" w:name="_Toc408922370"/>
      <w:r>
        <w:t>В настоящее время, возможность поставок тепловой энергии потребителям от различных источников тепловой энергии, при сохранении надежности теплоснабжения, отсутствует и в перспективе не предусмотрена.</w:t>
      </w:r>
    </w:p>
    <w:p w14:paraId="7DD61EE4">
      <w:pPr>
        <w:pStyle w:val="2"/>
        <w:suppressAutoHyphens/>
      </w:pPr>
      <w:r>
        <w:t>Раздел 10. Решения по бесхозяйным тепловым сетям</w:t>
      </w:r>
      <w:bookmarkEnd w:id="17"/>
      <w:r>
        <w:t>.</w:t>
      </w:r>
      <w:bookmarkEnd w:id="18"/>
    </w:p>
    <w:p w14:paraId="1A6C0DBC">
      <w:pPr>
        <w:suppressAutoHyphens/>
        <w:ind w:firstLine="567"/>
      </w:pPr>
      <w:r>
        <w:t>Бесхозяйных тепловых сетей в селе Чемодановка не выявлено. Все сети находятся в собственности.</w:t>
      </w:r>
    </w:p>
    <w:p w14:paraId="3E57B758">
      <w:pPr>
        <w:suppressAutoHyphens/>
        <w:ind w:firstLine="567"/>
      </w:pPr>
    </w:p>
    <w:p w14:paraId="462180D6">
      <w:pPr>
        <w:pStyle w:val="2"/>
        <w:suppressAutoHyphens/>
      </w:pPr>
      <w:r>
        <w:t>Раздел 11. «Существующее положение в сфере производства, передачи и потребления тепловой энергии для целей теплоснабжения»</w:t>
      </w:r>
    </w:p>
    <w:p w14:paraId="0E5871BB">
      <w:pPr>
        <w:pStyle w:val="3"/>
        <w:suppressAutoHyphens/>
        <w:rPr>
          <w:b w:val="0"/>
        </w:rPr>
      </w:pPr>
      <w:bookmarkStart w:id="19" w:name="_Toc245284"/>
      <w:r>
        <w:t>11.1.</w:t>
      </w:r>
      <w:r>
        <w:rPr>
          <w:b w:val="0"/>
        </w:rPr>
        <w:t xml:space="preserve"> Функциональная структура теплоснабжения.</w:t>
      </w:r>
      <w:bookmarkEnd w:id="19"/>
    </w:p>
    <w:p w14:paraId="720FBA31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Функциональная структура теплоснабжения с. Чемодановка выглядит следующим образом:</w:t>
      </w:r>
    </w:p>
    <w:tbl>
      <w:tblPr>
        <w:tblStyle w:val="6"/>
        <w:tblW w:w="28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40"/>
        <w:gridCol w:w="2068"/>
        <w:gridCol w:w="277"/>
        <w:gridCol w:w="1705"/>
      </w:tblGrid>
      <w:tr w14:paraId="6834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</w:tcPr>
          <w:p w14:paraId="6066F0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«ТЕПЛОВДОМ»</w:t>
            </w:r>
          </w:p>
        </w:tc>
      </w:tr>
      <w:tr w14:paraId="21C0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E74F279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2786D22B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A3976A9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8A36B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-1270</wp:posOffset>
                      </wp:positionV>
                      <wp:extent cx="0" cy="219075"/>
                      <wp:effectExtent l="54610" t="5080" r="59690" b="23495"/>
                      <wp:wrapNone/>
                      <wp:docPr id="6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3" o:spid="_x0000_s1026" o:spt="32" type="#_x0000_t32" style="position:absolute;left:0pt;margin-left:46.5pt;margin-top:-0.1pt;height:17.25pt;width:0pt;z-index:251662336;mso-width-relative:page;mso-height-relative:page;" filled="f" stroked="t" coordsize="21600,21600" o:gfxdata="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P&#10;gM1d1gAAAAYBAAAPAAAAAAAAAAEAIAAAACIAAABkcnMvZG93bnJldi54bWxQSwECFAAUAAAACACH&#10;TuJANwsX9e0BAADfAwAADgAAAAAAAAABACAAAAAlAQAAZHJzL2Uyb0RvYy54bWxQSwUGAAAAAAYA&#10;BgBZAQAAh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61038A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9" w:type="pct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22D17371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58467344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14:paraId="5955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330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F80D8A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0D047D9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32509">
            <w:pPr>
              <w:suppressAutoHyphens/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  <w:r>
              <w:t xml:space="preserve"> </w:t>
            </w:r>
          </w:p>
        </w:tc>
        <w:tc>
          <w:tcPr>
            <w:tcW w:w="237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0C0849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pct"/>
            <w:vMerge w:val="continue"/>
            <w:tcBorders>
              <w:left w:val="nil"/>
              <w:right w:val="nil"/>
            </w:tcBorders>
            <w:vAlign w:val="center"/>
          </w:tcPr>
          <w:p w14:paraId="44AA6E4B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14:paraId="6584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0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2E19A0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3DDE7B7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0F18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6350</wp:posOffset>
                      </wp:positionV>
                      <wp:extent cx="0" cy="219075"/>
                      <wp:effectExtent l="54610" t="13970" r="59690" b="14605"/>
                      <wp:wrapNone/>
                      <wp:docPr id="5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46.5pt;margin-top:0.5pt;height:17.25pt;width:0pt;z-index:251661312;mso-width-relative:page;mso-height-relative:page;" filled="f" stroked="t" coordsize="21600,21600" o:gfxdata="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EopI1gAAAAYBAAAPAAAAAAAAAAEAIAAAACIAAABkcnMvZG93bnJldi54bWxQSwECFAAUAAAACACH&#10;TuJAg6es3u0BAADfAwAADgAAAAAAAAABACAAAAAlAQAAZHJzL2Uyb0RvYy54bWxQSwUGAAAAAAYA&#10;BgBZAQAAh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5323302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9" w:type="pct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1DBBA3C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14:paraId="06F4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</w:tcBorders>
          </w:tcPr>
          <w:p w14:paraId="1B1EC84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Потребители тепловой энергии</w:t>
            </w:r>
          </w:p>
        </w:tc>
      </w:tr>
    </w:tbl>
    <w:p w14:paraId="7DC2FEBB">
      <w:pPr>
        <w:suppressAutoHyphens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Рис.1</w:t>
      </w:r>
      <w:r>
        <w:rPr>
          <w:sz w:val="24"/>
          <w:szCs w:val="24"/>
        </w:rPr>
        <w:t xml:space="preserve"> Функциональная структура теплоснабжения с. Чемодановка</w:t>
      </w:r>
    </w:p>
    <w:p w14:paraId="3CB347DE">
      <w:pPr>
        <w:suppressAutoHyphens/>
        <w:ind w:firstLine="567"/>
        <w:rPr>
          <w:sz w:val="24"/>
          <w:szCs w:val="24"/>
        </w:rPr>
      </w:pPr>
    </w:p>
    <w:p w14:paraId="44D8D3E8">
      <w:pPr>
        <w:pStyle w:val="3"/>
        <w:suppressAutoHyphens/>
        <w:rPr>
          <w:b w:val="0"/>
        </w:rPr>
      </w:pPr>
      <w:bookmarkStart w:id="20" w:name="_Toc245285"/>
      <w:r>
        <w:t>11.2.</w:t>
      </w:r>
      <w:r>
        <w:rPr>
          <w:sz w:val="24"/>
          <w:szCs w:val="24"/>
        </w:rPr>
        <w:t xml:space="preserve"> </w:t>
      </w:r>
      <w:r>
        <w:rPr>
          <w:b w:val="0"/>
        </w:rPr>
        <w:t>Источники тепловой энергии.</w:t>
      </w:r>
      <w:bookmarkEnd w:id="20"/>
    </w:p>
    <w:p w14:paraId="4D465754">
      <w:pPr>
        <w:suppressAutoHyphens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11.2.1. Структура основного оборудования</w:t>
      </w:r>
    </w:p>
    <w:p w14:paraId="1E910882">
      <w:pPr>
        <w:suppressAutoHyphens/>
        <w:ind w:firstLine="567"/>
        <w:rPr>
          <w:rStyle w:val="9"/>
          <w:b w:val="0"/>
          <w:sz w:val="24"/>
          <w:szCs w:val="24"/>
        </w:rPr>
      </w:pPr>
      <w:r>
        <w:rPr>
          <w:rStyle w:val="9"/>
          <w:b w:val="0"/>
          <w:sz w:val="24"/>
          <w:szCs w:val="24"/>
        </w:rPr>
        <w:t>Источниками тепловой энергии на территории с. Чемодановки являются модульная автономная котельная 10 Мвт.</w:t>
      </w:r>
    </w:p>
    <w:p w14:paraId="3D0038A5">
      <w:pPr>
        <w:suppressAutoHyphens/>
        <w:ind w:firstLine="567"/>
        <w:rPr>
          <w:rStyle w:val="9"/>
          <w:b w:val="0"/>
          <w:sz w:val="24"/>
          <w:szCs w:val="24"/>
        </w:rPr>
      </w:pPr>
      <w:r>
        <w:rPr>
          <w:rStyle w:val="9"/>
          <w:b w:val="0"/>
          <w:sz w:val="24"/>
          <w:szCs w:val="24"/>
        </w:rPr>
        <w:t>Структура основного оборудования, установленного на котельных,  представлена в таблице 11.2.1.</w:t>
      </w:r>
    </w:p>
    <w:p w14:paraId="4C89EE7A">
      <w:pPr>
        <w:suppressAutoHyphens/>
        <w:jc w:val="right"/>
        <w:rPr>
          <w:rStyle w:val="9"/>
          <w:sz w:val="24"/>
          <w:szCs w:val="24"/>
        </w:rPr>
      </w:pPr>
      <w:r>
        <w:rPr>
          <w:rStyle w:val="9"/>
          <w:sz w:val="24"/>
          <w:szCs w:val="24"/>
        </w:rPr>
        <w:t>Таблица11.2.1.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2982"/>
        <w:gridCol w:w="1709"/>
        <w:gridCol w:w="1713"/>
        <w:gridCol w:w="1720"/>
        <w:gridCol w:w="1720"/>
      </w:tblGrid>
      <w:tr w14:paraId="2B37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628EA4AC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№ п/п</w:t>
            </w:r>
          </w:p>
        </w:tc>
        <w:tc>
          <w:tcPr>
            <w:tcW w:w="1431" w:type="pct"/>
            <w:vAlign w:val="center"/>
          </w:tcPr>
          <w:p w14:paraId="155038F9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Наименование котельной</w:t>
            </w:r>
          </w:p>
        </w:tc>
        <w:tc>
          <w:tcPr>
            <w:tcW w:w="820" w:type="pct"/>
            <w:vAlign w:val="center"/>
          </w:tcPr>
          <w:p w14:paraId="41A65DCE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Тип котла</w:t>
            </w:r>
          </w:p>
        </w:tc>
        <w:tc>
          <w:tcPr>
            <w:tcW w:w="822" w:type="pct"/>
            <w:vAlign w:val="center"/>
          </w:tcPr>
          <w:p w14:paraId="26698E44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Марка котла</w:t>
            </w:r>
          </w:p>
        </w:tc>
        <w:tc>
          <w:tcPr>
            <w:tcW w:w="825" w:type="pct"/>
            <w:vAlign w:val="center"/>
          </w:tcPr>
          <w:p w14:paraId="3A8385CB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Мощность, Гкал/ч</w:t>
            </w:r>
          </w:p>
        </w:tc>
        <w:tc>
          <w:tcPr>
            <w:tcW w:w="825" w:type="pct"/>
            <w:vAlign w:val="center"/>
          </w:tcPr>
          <w:p w14:paraId="62B09456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Год установки</w:t>
            </w:r>
          </w:p>
        </w:tc>
      </w:tr>
      <w:tr w14:paraId="2AB7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0D511DEE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1.</w:t>
            </w:r>
          </w:p>
        </w:tc>
        <w:tc>
          <w:tcPr>
            <w:tcW w:w="1431" w:type="pct"/>
            <w:vAlign w:val="center"/>
          </w:tcPr>
          <w:p w14:paraId="7BF5F672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820" w:type="pct"/>
            <w:vAlign w:val="center"/>
          </w:tcPr>
          <w:p w14:paraId="25FC5C17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14:paraId="5D65AEC1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20EDF822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6454F7E8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</w:tr>
      <w:tr w14:paraId="099D7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5991CD06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1.1.</w:t>
            </w:r>
          </w:p>
        </w:tc>
        <w:tc>
          <w:tcPr>
            <w:tcW w:w="1431" w:type="pct"/>
            <w:vAlign w:val="center"/>
          </w:tcPr>
          <w:p w14:paraId="49734515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662E11AA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10689B33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ТТ100-3,5кВт</w:t>
            </w:r>
          </w:p>
        </w:tc>
        <w:tc>
          <w:tcPr>
            <w:tcW w:w="825" w:type="pct"/>
            <w:vAlign w:val="center"/>
          </w:tcPr>
          <w:p w14:paraId="1816B159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3,01</w:t>
            </w:r>
          </w:p>
        </w:tc>
        <w:tc>
          <w:tcPr>
            <w:tcW w:w="825" w:type="pct"/>
            <w:vAlign w:val="center"/>
          </w:tcPr>
          <w:p w14:paraId="399E5130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2011</w:t>
            </w:r>
          </w:p>
        </w:tc>
      </w:tr>
      <w:tr w14:paraId="698A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7A0D8299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1.2.</w:t>
            </w:r>
          </w:p>
        </w:tc>
        <w:tc>
          <w:tcPr>
            <w:tcW w:w="1431" w:type="pct"/>
            <w:vAlign w:val="center"/>
          </w:tcPr>
          <w:p w14:paraId="7358266F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17C75E19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56719C9A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ТТ100-3,5кВт</w:t>
            </w:r>
          </w:p>
        </w:tc>
        <w:tc>
          <w:tcPr>
            <w:tcW w:w="825" w:type="pct"/>
            <w:vAlign w:val="center"/>
          </w:tcPr>
          <w:p w14:paraId="5F91B0A3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3,01</w:t>
            </w:r>
          </w:p>
        </w:tc>
        <w:tc>
          <w:tcPr>
            <w:tcW w:w="825" w:type="pct"/>
            <w:vAlign w:val="center"/>
          </w:tcPr>
          <w:p w14:paraId="73323E3F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2011</w:t>
            </w:r>
          </w:p>
        </w:tc>
      </w:tr>
      <w:tr w14:paraId="2DF0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0EC0D286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1.3.</w:t>
            </w:r>
          </w:p>
        </w:tc>
        <w:tc>
          <w:tcPr>
            <w:tcW w:w="1431" w:type="pct"/>
            <w:vAlign w:val="center"/>
          </w:tcPr>
          <w:p w14:paraId="16591215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72177A54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водогрейный</w:t>
            </w:r>
          </w:p>
        </w:tc>
        <w:tc>
          <w:tcPr>
            <w:tcW w:w="822" w:type="pct"/>
            <w:vAlign w:val="center"/>
          </w:tcPr>
          <w:p w14:paraId="09BCEC65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ТТ100-3,0кВт</w:t>
            </w:r>
          </w:p>
        </w:tc>
        <w:tc>
          <w:tcPr>
            <w:tcW w:w="825" w:type="pct"/>
            <w:vAlign w:val="center"/>
          </w:tcPr>
          <w:p w14:paraId="2FC5862E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2,51</w:t>
            </w:r>
          </w:p>
        </w:tc>
        <w:tc>
          <w:tcPr>
            <w:tcW w:w="825" w:type="pct"/>
            <w:vAlign w:val="center"/>
          </w:tcPr>
          <w:p w14:paraId="47B961FC">
            <w:pPr>
              <w:suppressAutoHyphens/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2011</w:t>
            </w:r>
          </w:p>
        </w:tc>
      </w:tr>
      <w:tr w14:paraId="62196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77" w:type="pct"/>
            <w:vAlign w:val="center"/>
          </w:tcPr>
          <w:p w14:paraId="0CF98E00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1431" w:type="pct"/>
            <w:vAlign w:val="center"/>
          </w:tcPr>
          <w:p w14:paraId="5CC955C3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32EC09C9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2" w:type="pct"/>
            <w:vAlign w:val="center"/>
          </w:tcPr>
          <w:p w14:paraId="244025BC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  <w:tc>
          <w:tcPr>
            <w:tcW w:w="825" w:type="pct"/>
            <w:vAlign w:val="center"/>
          </w:tcPr>
          <w:p w14:paraId="4BF45C3C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8,53</w:t>
            </w:r>
          </w:p>
        </w:tc>
        <w:tc>
          <w:tcPr>
            <w:tcW w:w="825" w:type="pct"/>
            <w:vAlign w:val="center"/>
          </w:tcPr>
          <w:p w14:paraId="788359D0">
            <w:pPr>
              <w:suppressAutoHyphens/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</w:p>
        </w:tc>
      </w:tr>
    </w:tbl>
    <w:p w14:paraId="04DB6EA5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Котельные работают на природном горючем газе.</w:t>
      </w:r>
    </w:p>
    <w:p w14:paraId="7130618B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Основные виды теплопотребления – отопление.</w:t>
      </w:r>
    </w:p>
    <w:p w14:paraId="681AF4C6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Система теплоснабжения закрытая. </w:t>
      </w:r>
    </w:p>
    <w:p w14:paraId="6D2D43B1">
      <w:pPr>
        <w:suppressAutoHyphens/>
        <w:spacing w:before="120" w:after="120"/>
        <w:ind w:firstLine="567"/>
        <w:rPr>
          <w:b/>
          <w:sz w:val="24"/>
          <w:szCs w:val="24"/>
        </w:rPr>
      </w:pPr>
      <w:r>
        <w:rPr>
          <w:b/>
          <w:szCs w:val="28"/>
        </w:rPr>
        <w:t>11.2.2.</w:t>
      </w:r>
      <w:r>
        <w:rPr>
          <w:b/>
          <w:sz w:val="24"/>
          <w:szCs w:val="24"/>
        </w:rPr>
        <w:t xml:space="preserve"> Описание источников тепловой энергии.</w:t>
      </w:r>
    </w:p>
    <w:p w14:paraId="7C8ACF7D">
      <w:pPr>
        <w:suppressAutoHyphens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Модульная автономная  котельная  10 Мвт </w:t>
      </w:r>
    </w:p>
    <w:p w14:paraId="7446E7B7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Котельная предназначена для теплоснабжения жилых домов и объектов соцкультбыта с. Чемодановка.</w:t>
      </w:r>
      <w:r>
        <w:rPr>
          <w:color w:val="000000"/>
          <w:sz w:val="24"/>
          <w:szCs w:val="24"/>
        </w:rPr>
        <w:t xml:space="preserve"> Котельная была смонтирована в 2010-2011 году. В котельной установлено 3 водогрейных котла </w:t>
      </w:r>
      <w:r>
        <w:rPr>
          <w:rStyle w:val="9"/>
          <w:b w:val="0"/>
          <w:sz w:val="24"/>
          <w:szCs w:val="24"/>
        </w:rPr>
        <w:t>ТТ100</w:t>
      </w:r>
      <w:r>
        <w:rPr>
          <w:color w:val="000000"/>
          <w:sz w:val="24"/>
          <w:szCs w:val="24"/>
        </w:rPr>
        <w:t xml:space="preserve">.Установленная мощность котельной составляет 8,53 Гкал/ч. </w:t>
      </w:r>
    </w:p>
    <w:p w14:paraId="5F345AAE">
      <w:pPr>
        <w:suppressAutoHyphens/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Водоснабжение газовой котельной предусмотрено: </w:t>
      </w:r>
    </w:p>
    <w:p w14:paraId="7687A125">
      <w:pPr>
        <w:pStyle w:val="32"/>
        <w:numPr>
          <w:ilvl w:val="0"/>
          <w:numId w:val="2"/>
        </w:numPr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Основное -  от предусмотренной согласно проектной документации водяной емкости по тупиковой водопроводной сети; </w:t>
      </w:r>
    </w:p>
    <w:p w14:paraId="4C3E03C6">
      <w:pPr>
        <w:pStyle w:val="32"/>
        <w:numPr>
          <w:ilvl w:val="0"/>
          <w:numId w:val="2"/>
        </w:numPr>
        <w:suppressAutoHyphens/>
      </w:pPr>
      <w:r>
        <w:rPr>
          <w:rFonts w:ascii="Times New Roman" w:hAnsi="Times New Roman"/>
        </w:rPr>
        <w:t>Резервное – от многоквартирного дома № 11 с. Чемодановка.</w:t>
      </w:r>
    </w:p>
    <w:p w14:paraId="02239C2C">
      <w:pPr>
        <w:suppressAutoHyphens/>
        <w:ind w:left="786"/>
      </w:pPr>
    </w:p>
    <w:p w14:paraId="2B2B0446">
      <w:pPr>
        <w:suppressAutoHyphens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Исходная вода поступает в котельную для обеспечения теплоснабжения потребителей. Аварийный запас воды для котельной согласно проекту не предусмотрен. Исходная питьевая вода умягчается с помощью системы химводоподготовки. В подпиточную воду добавляется реагенты в автоматическом режиме.</w:t>
      </w:r>
    </w:p>
    <w:p w14:paraId="2C4FC56E">
      <w:pPr>
        <w:suppressAutoHyphens/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Учет потребления энергоресурсов ведется с помощью счетчиков. В котельной установлены три счетчика.   </w:t>
      </w:r>
    </w:p>
    <w:p w14:paraId="0B55C8D5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Перечень приборов учета, установленных в котельной,</w:t>
      </w:r>
      <w:r>
        <w:rPr>
          <w:color w:val="000000"/>
          <w:sz w:val="24"/>
          <w:szCs w:val="24"/>
        </w:rPr>
        <w:t xml:space="preserve"> представлен в таблице 11.2.2.</w:t>
      </w:r>
    </w:p>
    <w:p w14:paraId="75064BDF">
      <w:pPr>
        <w:ind w:firstLine="720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Таблица 11.2.2.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1"/>
        <w:gridCol w:w="2648"/>
        <w:gridCol w:w="2572"/>
      </w:tblGrid>
      <w:tr w14:paraId="2C35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0D99A892">
            <w:pPr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Тип прибора марка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5AE49492">
            <w:pPr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Класс точности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0E249356">
            <w:pPr>
              <w:spacing w:line="240" w:lineRule="auto"/>
              <w:jc w:val="center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Серийный номер</w:t>
            </w:r>
          </w:p>
        </w:tc>
      </w:tr>
      <w:tr w14:paraId="43D8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0A1E34B0">
            <w:pPr>
              <w:spacing w:line="240" w:lineRule="auto"/>
              <w:jc w:val="left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Электрической энергии</w:t>
            </w:r>
          </w:p>
        </w:tc>
      </w:tr>
      <w:tr w14:paraId="4B4D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51521720">
            <w:pPr>
              <w:spacing w:line="240" w:lineRule="auto"/>
              <w:jc w:val="left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ПСЧ-4ТМ.05 МК.16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554E00C3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2C802663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1108150160</w:t>
            </w:r>
          </w:p>
        </w:tc>
      </w:tr>
      <w:tr w14:paraId="3415E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745676BC">
            <w:pPr>
              <w:spacing w:line="240" w:lineRule="auto"/>
              <w:jc w:val="left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Природного горючего газа</w:t>
            </w:r>
          </w:p>
        </w:tc>
      </w:tr>
      <w:tr w14:paraId="5B9C5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4864D2E0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Комплекс для измерения количества газа СГ-ЭК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5EFAA45B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50800DC0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16190-09</w:t>
            </w:r>
          </w:p>
        </w:tc>
      </w:tr>
      <w:tr w14:paraId="71E18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18E8400E">
            <w:pPr>
              <w:spacing w:line="240" w:lineRule="auto"/>
              <w:jc w:val="left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Счетчик газа турбинный TRZ G1000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20EE1794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690B4EF9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  <w:lang w:val="en-US"/>
              </w:rPr>
            </w:pPr>
            <w:r>
              <w:rPr>
                <w:rStyle w:val="9"/>
                <w:b w:val="0"/>
                <w:sz w:val="24"/>
                <w:szCs w:val="24"/>
                <w:lang w:val="en-US"/>
              </w:rPr>
              <w:t>10091924</w:t>
            </w:r>
          </w:p>
        </w:tc>
      </w:tr>
      <w:tr w14:paraId="2F4A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74260837">
            <w:pPr>
              <w:spacing w:line="240" w:lineRule="auto"/>
              <w:jc w:val="left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 xml:space="preserve">Корректор объема газа </w:t>
            </w:r>
            <w:r>
              <w:rPr>
                <w:rStyle w:val="9"/>
                <w:b w:val="0"/>
                <w:sz w:val="24"/>
                <w:szCs w:val="24"/>
                <w:lang w:val="en-US"/>
              </w:rPr>
              <w:t>ЕК</w:t>
            </w:r>
            <w:r>
              <w:rPr>
                <w:rStyle w:val="9"/>
                <w:b w:val="0"/>
                <w:sz w:val="24"/>
                <w:szCs w:val="24"/>
              </w:rPr>
              <w:t>270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72162B93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5792A182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10100503</w:t>
            </w:r>
          </w:p>
        </w:tc>
      </w:tr>
      <w:tr w14:paraId="41F5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66ED8AE0">
            <w:pPr>
              <w:spacing w:line="240" w:lineRule="auto"/>
              <w:jc w:val="left"/>
              <w:rPr>
                <w:rStyle w:val="9"/>
                <w:sz w:val="24"/>
                <w:szCs w:val="24"/>
              </w:rPr>
            </w:pPr>
            <w:r>
              <w:rPr>
                <w:rStyle w:val="9"/>
                <w:sz w:val="24"/>
                <w:szCs w:val="24"/>
              </w:rPr>
              <w:t>Воды</w:t>
            </w:r>
          </w:p>
        </w:tc>
      </w:tr>
      <w:tr w14:paraId="75CC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495" w:type="pct"/>
            <w:shd w:val="clear" w:color="auto" w:fill="auto"/>
            <w:noWrap/>
            <w:vAlign w:val="center"/>
          </w:tcPr>
          <w:p w14:paraId="0989CB5B">
            <w:pPr>
              <w:spacing w:line="240" w:lineRule="auto"/>
              <w:jc w:val="left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ВСТН-80</w:t>
            </w:r>
          </w:p>
        </w:tc>
        <w:tc>
          <w:tcPr>
            <w:tcW w:w="1271" w:type="pct"/>
            <w:shd w:val="clear" w:color="auto" w:fill="auto"/>
            <w:noWrap/>
            <w:vAlign w:val="center"/>
          </w:tcPr>
          <w:p w14:paraId="064B183C">
            <w:pPr>
              <w:spacing w:line="240" w:lineRule="auto"/>
              <w:jc w:val="left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09ED75CA">
            <w:pPr>
              <w:spacing w:line="240" w:lineRule="auto"/>
              <w:jc w:val="center"/>
              <w:rPr>
                <w:rStyle w:val="9"/>
                <w:b w:val="0"/>
                <w:sz w:val="24"/>
                <w:szCs w:val="24"/>
              </w:rPr>
            </w:pPr>
            <w:r>
              <w:rPr>
                <w:rStyle w:val="9"/>
                <w:b w:val="0"/>
                <w:sz w:val="24"/>
                <w:szCs w:val="24"/>
              </w:rPr>
              <w:t>14571660</w:t>
            </w:r>
          </w:p>
        </w:tc>
      </w:tr>
    </w:tbl>
    <w:p w14:paraId="411DF693">
      <w:pPr>
        <w:spacing w:line="240" w:lineRule="auto"/>
        <w:jc w:val="center"/>
        <w:rPr>
          <w:rStyle w:val="9"/>
          <w:sz w:val="24"/>
          <w:szCs w:val="24"/>
        </w:rPr>
      </w:pPr>
    </w:p>
    <w:p w14:paraId="35894BD5">
      <w:pPr>
        <w:pStyle w:val="3"/>
        <w:rPr>
          <w:sz w:val="24"/>
          <w:szCs w:val="24"/>
        </w:rPr>
      </w:pPr>
      <w:bookmarkStart w:id="21" w:name="_Toc245286"/>
      <w:r>
        <w:t>11.3.</w:t>
      </w:r>
      <w:r>
        <w:rPr>
          <w:sz w:val="24"/>
          <w:szCs w:val="24"/>
        </w:rPr>
        <w:t xml:space="preserve"> Описание тепловых сетей, сооружений на них  и тепловых пунктов.</w:t>
      </w:r>
      <w:bookmarkEnd w:id="21"/>
    </w:p>
    <w:p w14:paraId="6F2EE977">
      <w:pPr>
        <w:suppressAutoHyphens/>
        <w:ind w:firstLine="69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Система теплоснабжения от модульной автономной котельной двухтрубная, закрытая.</w:t>
      </w:r>
    </w:p>
    <w:p w14:paraId="75BF782F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В настоящее время 100% сетей централизованного тепловодоснабжения выполнены из стального трубопровода, покрытого теплоизоляцией из минеральной ваты, парогидроизоляционной пленкой. Прокладка теплосети выполнена надземным способом на опорных металлических и бетонных конструкциях.</w:t>
      </w:r>
    </w:p>
    <w:p w14:paraId="4D7289F3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Система тепловых сетей гидравлически отрегулирована согласно разработанного Пензенским государственным университетом архитектуры и строительства отчета  оптимизации тепловых и гидравлических режимов водяной тепловой сети села Чемодановка. </w:t>
      </w:r>
    </w:p>
    <w:p w14:paraId="3E231841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Температурный график работы тепловых сетей представлен в таблице 11.3.1. и на рисунке 1.</w:t>
      </w:r>
    </w:p>
    <w:p w14:paraId="63663B72">
      <w:pPr>
        <w:ind w:firstLine="567"/>
        <w:rPr>
          <w:sz w:val="24"/>
          <w:szCs w:val="24"/>
        </w:rPr>
      </w:pPr>
    </w:p>
    <w:p w14:paraId="64036957">
      <w:pPr>
        <w:spacing w:line="240" w:lineRule="auto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11.3.1.</w:t>
      </w:r>
    </w:p>
    <w:p w14:paraId="71ED2224">
      <w:pPr>
        <w:ind w:firstLine="567"/>
        <w:rPr>
          <w:sz w:val="24"/>
          <w:szCs w:val="24"/>
        </w:rPr>
      </w:pPr>
    </w:p>
    <w:tbl>
      <w:tblPr>
        <w:tblStyle w:val="6"/>
        <w:tblW w:w="9488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3778"/>
        <w:gridCol w:w="3828"/>
      </w:tblGrid>
      <w:tr w14:paraId="48450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88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3C2B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Температура наружного воздуха t`С</w:t>
            </w:r>
          </w:p>
        </w:tc>
        <w:tc>
          <w:tcPr>
            <w:tcW w:w="37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9238F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Температура подаваемого теплоносителя, t`C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9FCB3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Температура возвращаемого теплоносителя, t`C</w:t>
            </w:r>
          </w:p>
        </w:tc>
      </w:tr>
      <w:tr w14:paraId="73B8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CC73B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D80A79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BAA6A2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</w:t>
            </w:r>
          </w:p>
        </w:tc>
      </w:tr>
      <w:tr w14:paraId="29EF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749FB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1F617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EB823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</w:tr>
      <w:tr w14:paraId="0D993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36FDC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B2282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BC872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38,7</w:t>
            </w:r>
          </w:p>
        </w:tc>
      </w:tr>
      <w:tr w14:paraId="3144F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0C783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6C3D0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6E231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38,9</w:t>
            </w:r>
          </w:p>
        </w:tc>
      </w:tr>
      <w:tr w14:paraId="00789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1483C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11519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752E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40,9</w:t>
            </w:r>
          </w:p>
        </w:tc>
      </w:tr>
      <w:tr w14:paraId="7FF62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1A174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3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FAD58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DE9B3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</w:t>
            </w:r>
          </w:p>
        </w:tc>
      </w:tr>
      <w:tr w14:paraId="4A945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040B7E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DB113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0936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43,1</w:t>
            </w:r>
          </w:p>
        </w:tc>
      </w:tr>
      <w:tr w14:paraId="285A0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BF871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AD486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BF7E3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44,1</w:t>
            </w:r>
          </w:p>
        </w:tc>
      </w:tr>
      <w:tr w14:paraId="1ABB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95C2C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5E34F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22DE6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45,2</w:t>
            </w:r>
          </w:p>
        </w:tc>
      </w:tr>
      <w:tr w14:paraId="32035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A927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3291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0063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46,2</w:t>
            </w:r>
          </w:p>
        </w:tc>
      </w:tr>
      <w:tr w14:paraId="2169B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2E625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F6EA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C6099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47,3</w:t>
            </w:r>
          </w:p>
        </w:tc>
      </w:tr>
      <w:tr w14:paraId="0D7A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E806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5CDB1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4D532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48,3</w:t>
            </w:r>
          </w:p>
        </w:tc>
      </w:tr>
      <w:tr w14:paraId="06F9F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9867B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CEA35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5D9A6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49,3</w:t>
            </w:r>
          </w:p>
        </w:tc>
      </w:tr>
      <w:tr w14:paraId="7DBB8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4CF7A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C4EA2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57AE0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50,3</w:t>
            </w:r>
          </w:p>
        </w:tc>
      </w:tr>
      <w:tr w14:paraId="2F6C9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13453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523F7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5AA4A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51,2</w:t>
            </w:r>
          </w:p>
        </w:tc>
      </w:tr>
      <w:tr w14:paraId="00D02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7F804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695D16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251CD6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52,2</w:t>
            </w:r>
          </w:p>
        </w:tc>
      </w:tr>
      <w:tr w14:paraId="6C549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F72BD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5A1426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C3E5D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53,2</w:t>
            </w:r>
          </w:p>
        </w:tc>
      </w:tr>
      <w:tr w14:paraId="6762C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64D63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7AADA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64F04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54,1</w:t>
            </w:r>
          </w:p>
        </w:tc>
      </w:tr>
      <w:tr w14:paraId="73343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ED8C0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216F5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BA0A9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</w:t>
            </w:r>
          </w:p>
        </w:tc>
      </w:tr>
      <w:tr w14:paraId="33F77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33369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-13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C21DC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FDAD8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</w:t>
            </w:r>
          </w:p>
        </w:tc>
      </w:tr>
      <w:tr w14:paraId="18D51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3E14D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B34B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554F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56,9</w:t>
            </w:r>
          </w:p>
        </w:tc>
      </w:tr>
      <w:tr w14:paraId="03040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A510C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-15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81869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1663E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57,8</w:t>
            </w:r>
          </w:p>
        </w:tc>
      </w:tr>
      <w:tr w14:paraId="4215A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7114B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34FBF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B3F046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58,7</w:t>
            </w:r>
          </w:p>
        </w:tc>
      </w:tr>
      <w:tr w14:paraId="46D66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823F4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6C3828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73642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59,6</w:t>
            </w:r>
          </w:p>
        </w:tc>
      </w:tr>
      <w:tr w14:paraId="78182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955CF4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D4F9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3900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60,5</w:t>
            </w:r>
          </w:p>
        </w:tc>
      </w:tr>
      <w:tr w14:paraId="73954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9C882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13A2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C1DF0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61,4</w:t>
            </w:r>
          </w:p>
        </w:tc>
      </w:tr>
      <w:tr w14:paraId="1F6CD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42397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A3EDA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FE06AC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62,3</w:t>
            </w:r>
          </w:p>
        </w:tc>
      </w:tr>
      <w:tr w14:paraId="0F42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B1743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C4D8D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C0A9E6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63,2</w:t>
            </w:r>
          </w:p>
        </w:tc>
      </w:tr>
      <w:tr w14:paraId="6896C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A51FB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-22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BDF89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F55A5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</w:t>
            </w:r>
          </w:p>
        </w:tc>
      </w:tr>
      <w:tr w14:paraId="0C03C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D6B27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890BB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945EC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64,9</w:t>
            </w:r>
          </w:p>
        </w:tc>
      </w:tr>
      <w:tr w14:paraId="7DB4F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EB219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745FCA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8BC29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65,7</w:t>
            </w:r>
          </w:p>
        </w:tc>
      </w:tr>
      <w:tr w14:paraId="01585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94B165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6646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0A6FD8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66,6</w:t>
            </w:r>
          </w:p>
        </w:tc>
      </w:tr>
      <w:tr w14:paraId="3F886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31C2B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08B93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B6F95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67,4</w:t>
            </w:r>
          </w:p>
        </w:tc>
      </w:tr>
      <w:tr w14:paraId="275B5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ACBCF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-27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D95B8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98BB6F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68,3</w:t>
            </w:r>
          </w:p>
        </w:tc>
      </w:tr>
      <w:tr w14:paraId="63459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C0F7B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ECC45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35C7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69,1</w:t>
            </w:r>
          </w:p>
        </w:tc>
      </w:tr>
      <w:tr w14:paraId="43562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8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E7A5C8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3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CFDE8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996220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5A415E47">
      <w:pPr>
        <w:ind w:firstLine="567"/>
        <w:rPr>
          <w:sz w:val="24"/>
          <w:szCs w:val="24"/>
        </w:rPr>
        <w:sectPr>
          <w:pgSz w:w="11906" w:h="16838"/>
          <w:pgMar w:top="1134" w:right="567" w:bottom="1134" w:left="1134" w:header="283" w:footer="283" w:gutter="0"/>
          <w:cols w:space="708" w:num="1"/>
          <w:titlePg/>
          <w:docGrid w:linePitch="381" w:charSpace="0"/>
        </w:sectPr>
      </w:pPr>
    </w:p>
    <w:p w14:paraId="18CAB697">
      <w:pPr>
        <w:ind w:firstLine="567"/>
        <w:rPr>
          <w:sz w:val="24"/>
          <w:szCs w:val="24"/>
        </w:rPr>
      </w:pPr>
    </w:p>
    <w:p w14:paraId="33CB8ECE">
      <w:pPr>
        <w:ind w:firstLine="567"/>
        <w:rPr>
          <w:sz w:val="24"/>
          <w:szCs w:val="24"/>
        </w:rPr>
      </w:pPr>
      <w:r>
        <w:rPr>
          <w:sz w:val="24"/>
          <w:szCs w:val="24"/>
          <w:lang w:eastAsia="ru-RU"/>
        </w:rPr>
        <w:drawing>
          <wp:inline distT="0" distB="0" distL="0" distR="0">
            <wp:extent cx="8709660" cy="525018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иаграмма 1"/>
                    <pic:cNvPicPr>
                      <a:picLocks noChangeArrowheads="1"/>
                    </pic:cNvPicPr>
                  </pic:nvPicPr>
                  <pic:blipFill>
                    <a:blip r:embed="rId8"/>
                    <a:srcRect l="-1822" t="-4059" r="-871" b="-2605"/>
                    <a:stretch>
                      <a:fillRect/>
                    </a:stretch>
                  </pic:blipFill>
                  <pic:spPr>
                    <a:xfrm>
                      <a:off x="0" y="0"/>
                      <a:ext cx="8709660" cy="525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24769">
      <w:pPr>
        <w:rPr>
          <w:sz w:val="24"/>
          <w:szCs w:val="24"/>
        </w:rPr>
      </w:pPr>
    </w:p>
    <w:p w14:paraId="5AEA4110">
      <w:pPr>
        <w:tabs>
          <w:tab w:val="left" w:pos="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Рис.1</w:t>
      </w:r>
      <w:r>
        <w:rPr>
          <w:sz w:val="24"/>
          <w:szCs w:val="24"/>
        </w:rPr>
        <w:t xml:space="preserve"> Температурный график работы котельных с.Чемодановка</w:t>
      </w:r>
    </w:p>
    <w:p w14:paraId="67CEEC4F">
      <w:pPr>
        <w:rPr>
          <w:sz w:val="24"/>
          <w:szCs w:val="24"/>
        </w:rPr>
      </w:pPr>
    </w:p>
    <w:p w14:paraId="084C8950">
      <w:pPr>
        <w:rPr>
          <w:sz w:val="24"/>
          <w:szCs w:val="24"/>
        </w:rPr>
        <w:sectPr>
          <w:pgSz w:w="16838" w:h="11906" w:orient="landscape"/>
          <w:pgMar w:top="1134" w:right="1134" w:bottom="567" w:left="1134" w:header="283" w:footer="283" w:gutter="0"/>
          <w:cols w:space="708" w:num="1"/>
          <w:titlePg/>
          <w:docGrid w:linePitch="381" w:charSpace="0"/>
        </w:sectPr>
      </w:pPr>
    </w:p>
    <w:p w14:paraId="11984D3D">
      <w:pPr>
        <w:pStyle w:val="3"/>
        <w:rPr>
          <w:sz w:val="24"/>
          <w:szCs w:val="24"/>
        </w:rPr>
      </w:pPr>
      <w:bookmarkStart w:id="22" w:name="_Toc245288"/>
      <w:r>
        <w:t>11.5.</w:t>
      </w:r>
      <w:r>
        <w:rPr>
          <w:sz w:val="24"/>
          <w:szCs w:val="24"/>
        </w:rPr>
        <w:t xml:space="preserve"> Тепловые нагрузки потребителей, групп потребителей</w:t>
      </w:r>
      <w:bookmarkEnd w:id="22"/>
      <w:r>
        <w:rPr>
          <w:sz w:val="24"/>
          <w:szCs w:val="24"/>
        </w:rPr>
        <w:t>.</w:t>
      </w:r>
    </w:p>
    <w:p w14:paraId="1AD7E492">
      <w:pPr>
        <w:rPr>
          <w:sz w:val="24"/>
          <w:szCs w:val="24"/>
        </w:rPr>
      </w:pPr>
      <w:r>
        <w:rPr>
          <w:sz w:val="24"/>
          <w:szCs w:val="24"/>
        </w:rPr>
        <w:t>Тепловые нагрузки сведены в таблицу 11.5.1.</w:t>
      </w:r>
    </w:p>
    <w:p w14:paraId="6768837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Таблица11.5.1.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822"/>
        <w:gridCol w:w="1836"/>
        <w:gridCol w:w="2126"/>
        <w:gridCol w:w="1882"/>
        <w:gridCol w:w="2195"/>
      </w:tblGrid>
      <w:tr w14:paraId="134D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9" w:type="pct"/>
            <w:vMerge w:val="restart"/>
            <w:vAlign w:val="center"/>
          </w:tcPr>
          <w:p w14:paraId="2F8933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74" w:type="pct"/>
            <w:vMerge w:val="restart"/>
            <w:vAlign w:val="center"/>
          </w:tcPr>
          <w:p w14:paraId="3D78F9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котельной</w:t>
            </w:r>
          </w:p>
        </w:tc>
        <w:tc>
          <w:tcPr>
            <w:tcW w:w="3857" w:type="pct"/>
            <w:gridSpan w:val="4"/>
          </w:tcPr>
          <w:p w14:paraId="64FB2F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Гкал/ч</w:t>
            </w:r>
          </w:p>
        </w:tc>
      </w:tr>
      <w:tr w14:paraId="099A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9" w:type="pct"/>
            <w:vMerge w:val="continue"/>
            <w:vAlign w:val="center"/>
          </w:tcPr>
          <w:p w14:paraId="234BB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4" w:type="pct"/>
            <w:vMerge w:val="continue"/>
            <w:vAlign w:val="center"/>
          </w:tcPr>
          <w:p w14:paraId="2BB2B4B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1CCA8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Потребление на собственные нужды</w:t>
            </w:r>
          </w:p>
        </w:tc>
        <w:tc>
          <w:tcPr>
            <w:tcW w:w="1020" w:type="pct"/>
            <w:vAlign w:val="center"/>
          </w:tcPr>
          <w:p w14:paraId="236B06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Подключенная нагрузка на отопление</w:t>
            </w:r>
          </w:p>
        </w:tc>
        <w:tc>
          <w:tcPr>
            <w:tcW w:w="903" w:type="pct"/>
            <w:vAlign w:val="center"/>
          </w:tcPr>
          <w:p w14:paraId="5BEB4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Потери в тепловых сетях</w:t>
            </w:r>
          </w:p>
        </w:tc>
        <w:tc>
          <w:tcPr>
            <w:tcW w:w="1053" w:type="pct"/>
          </w:tcPr>
          <w:p w14:paraId="6C40B6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Суммарное теплопотребление</w:t>
            </w:r>
          </w:p>
        </w:tc>
      </w:tr>
      <w:tr w14:paraId="524E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9" w:type="pct"/>
            <w:vAlign w:val="center"/>
          </w:tcPr>
          <w:p w14:paraId="7F869C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4" w:type="pct"/>
            <w:vAlign w:val="center"/>
          </w:tcPr>
          <w:p w14:paraId="6A412472">
            <w:pPr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881" w:type="pct"/>
            <w:vAlign w:val="center"/>
          </w:tcPr>
          <w:p w14:paraId="60200C8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020" w:type="pct"/>
            <w:vAlign w:val="center"/>
          </w:tcPr>
          <w:p w14:paraId="488E1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7,6098</w:t>
            </w:r>
          </w:p>
        </w:tc>
        <w:tc>
          <w:tcPr>
            <w:tcW w:w="903" w:type="pct"/>
            <w:vAlign w:val="center"/>
          </w:tcPr>
          <w:p w14:paraId="0DF8625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053" w:type="pct"/>
            <w:vAlign w:val="center"/>
          </w:tcPr>
          <w:p w14:paraId="0CE1ED0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8,0298</w:t>
            </w:r>
          </w:p>
        </w:tc>
      </w:tr>
    </w:tbl>
    <w:p w14:paraId="26191C95">
      <w:pPr>
        <w:rPr>
          <w:sz w:val="24"/>
          <w:szCs w:val="24"/>
        </w:rPr>
      </w:pPr>
    </w:p>
    <w:p w14:paraId="2C6A3CBF">
      <w:pPr>
        <w:pStyle w:val="3"/>
        <w:rPr>
          <w:sz w:val="24"/>
          <w:szCs w:val="24"/>
        </w:rPr>
      </w:pPr>
      <w:bookmarkStart w:id="23" w:name="_Toc245289"/>
      <w:r>
        <w:t>11.6.</w:t>
      </w:r>
      <w:r>
        <w:rPr>
          <w:sz w:val="24"/>
          <w:szCs w:val="24"/>
        </w:rPr>
        <w:t xml:space="preserve"> Балансы тепловой мощности и тепловой нагрузки</w:t>
      </w:r>
      <w:bookmarkEnd w:id="23"/>
      <w:r>
        <w:rPr>
          <w:sz w:val="24"/>
          <w:szCs w:val="24"/>
        </w:rPr>
        <w:t>.</w:t>
      </w:r>
    </w:p>
    <w:p w14:paraId="02A94335">
      <w:pPr>
        <w:ind w:firstLine="567"/>
        <w:rPr>
          <w:sz w:val="24"/>
          <w:szCs w:val="24"/>
        </w:rPr>
      </w:pPr>
      <w:r>
        <w:rPr>
          <w:sz w:val="24"/>
          <w:szCs w:val="24"/>
        </w:rPr>
        <w:t>Баланс тепловой мощности источников тепловой энергии с. Чемодановка представлены в таблице 11.6.1.</w:t>
      </w:r>
    </w:p>
    <w:p w14:paraId="3283F73C">
      <w:pPr>
        <w:ind w:firstLine="567"/>
        <w:rPr>
          <w:sz w:val="24"/>
          <w:szCs w:val="24"/>
        </w:rPr>
      </w:pPr>
    </w:p>
    <w:p w14:paraId="0F528744">
      <w:pPr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11.6.1.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774"/>
        <w:gridCol w:w="1843"/>
        <w:gridCol w:w="1801"/>
        <w:gridCol w:w="1820"/>
        <w:gridCol w:w="1238"/>
        <w:gridCol w:w="1385"/>
      </w:tblGrid>
      <w:tr w14:paraId="18EB4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4" w:type="pct"/>
            <w:vAlign w:val="center"/>
          </w:tcPr>
          <w:p w14:paraId="6C1BEA6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55" w:type="pct"/>
            <w:vAlign w:val="center"/>
          </w:tcPr>
          <w:p w14:paraId="05FB91A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котельной</w:t>
            </w:r>
          </w:p>
        </w:tc>
        <w:tc>
          <w:tcPr>
            <w:tcW w:w="888" w:type="pct"/>
            <w:vAlign w:val="center"/>
          </w:tcPr>
          <w:p w14:paraId="1F0FD52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Установленная мощность, Гкал/ч</w:t>
            </w:r>
          </w:p>
        </w:tc>
        <w:tc>
          <w:tcPr>
            <w:tcW w:w="868" w:type="pct"/>
            <w:vAlign w:val="center"/>
          </w:tcPr>
          <w:p w14:paraId="3D708A4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Располагаемая мощность, Гкал/ч</w:t>
            </w:r>
          </w:p>
        </w:tc>
        <w:tc>
          <w:tcPr>
            <w:tcW w:w="877" w:type="pct"/>
            <w:vAlign w:val="center"/>
          </w:tcPr>
          <w:p w14:paraId="2175116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Подключенная нагрузка, Гкал/ч</w:t>
            </w:r>
          </w:p>
        </w:tc>
        <w:tc>
          <w:tcPr>
            <w:tcW w:w="597" w:type="pct"/>
            <w:vAlign w:val="center"/>
          </w:tcPr>
          <w:p w14:paraId="232A10F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Потери в тепловых сетях, Гкал/ч</w:t>
            </w:r>
          </w:p>
        </w:tc>
        <w:tc>
          <w:tcPr>
            <w:tcW w:w="650" w:type="pct"/>
            <w:vAlign w:val="center"/>
          </w:tcPr>
          <w:p w14:paraId="1FDA689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 (+)/ дефицит (-) тепловой мощности, Гкал/ч</w:t>
            </w:r>
          </w:p>
        </w:tc>
      </w:tr>
      <w:tr w14:paraId="5D7E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4" w:type="pct"/>
            <w:vAlign w:val="center"/>
          </w:tcPr>
          <w:p w14:paraId="15590D9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5" w:type="pct"/>
            <w:vAlign w:val="center"/>
          </w:tcPr>
          <w:p w14:paraId="146BA98F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Модульная автономная  котельная  10 Мвт</w:t>
            </w:r>
          </w:p>
        </w:tc>
        <w:tc>
          <w:tcPr>
            <w:tcW w:w="888" w:type="pct"/>
            <w:vAlign w:val="center"/>
          </w:tcPr>
          <w:p w14:paraId="015499E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8,53</w:t>
            </w:r>
          </w:p>
        </w:tc>
        <w:tc>
          <w:tcPr>
            <w:tcW w:w="868" w:type="pct"/>
            <w:vAlign w:val="center"/>
          </w:tcPr>
          <w:p w14:paraId="25A133A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8,53</w:t>
            </w:r>
          </w:p>
        </w:tc>
        <w:tc>
          <w:tcPr>
            <w:tcW w:w="877" w:type="pct"/>
            <w:vAlign w:val="center"/>
          </w:tcPr>
          <w:p w14:paraId="34471D0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8,0298</w:t>
            </w:r>
          </w:p>
        </w:tc>
        <w:tc>
          <w:tcPr>
            <w:tcW w:w="597" w:type="pct"/>
            <w:vAlign w:val="center"/>
          </w:tcPr>
          <w:p w14:paraId="273183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650" w:type="pct"/>
            <w:vAlign w:val="center"/>
          </w:tcPr>
          <w:p w14:paraId="319FE0C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+0,5</w:t>
            </w:r>
          </w:p>
        </w:tc>
      </w:tr>
    </w:tbl>
    <w:p w14:paraId="6842F82C">
      <w:pPr>
        <w:suppressAutoHyphens/>
        <w:ind w:firstLine="567"/>
        <w:jc w:val="right"/>
        <w:rPr>
          <w:b/>
          <w:sz w:val="24"/>
          <w:szCs w:val="24"/>
        </w:rPr>
      </w:pPr>
    </w:p>
    <w:p w14:paraId="6C379A88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Дефициты тепловой мощности на котельных с. Чемодановка отсутствуют.</w:t>
      </w:r>
    </w:p>
    <w:p w14:paraId="2C30387C">
      <w:pPr>
        <w:pStyle w:val="3"/>
        <w:suppressAutoHyphens/>
        <w:rPr>
          <w:sz w:val="24"/>
          <w:szCs w:val="24"/>
        </w:rPr>
      </w:pPr>
      <w:bookmarkStart w:id="24" w:name="_Toc245290"/>
      <w:r>
        <w:t>11.7.</w:t>
      </w:r>
      <w:r>
        <w:rPr>
          <w:sz w:val="24"/>
          <w:szCs w:val="24"/>
        </w:rPr>
        <w:t xml:space="preserve"> Балансы теплоносителя.</w:t>
      </w:r>
      <w:bookmarkEnd w:id="24"/>
    </w:p>
    <w:p w14:paraId="50F3C83C">
      <w:pPr>
        <w:suppressAutoHyphens/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Согласно приложению №23 СНиП  2.04.07-86* "Тепловые сети":</w:t>
      </w:r>
    </w:p>
    <w:p w14:paraId="335581CF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 зданий. </w:t>
      </w:r>
    </w:p>
    <w:p w14:paraId="7261BE22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- объем воды в системах теплоснабжения при отсутствии данных по фактическим объемам воды допускается принимать равным 65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на 1 МВт расчетного теплового потока при закрытой системе теплоснабжения.</w:t>
      </w:r>
    </w:p>
    <w:p w14:paraId="612B3AF9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Расходы теплоносителя на подпитку тепловой сети представлены в таблице 11.7.1.</w:t>
      </w:r>
    </w:p>
    <w:p w14:paraId="5282540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11.7.1.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3118"/>
        <w:gridCol w:w="2236"/>
        <w:gridCol w:w="2124"/>
      </w:tblGrid>
      <w:tr w14:paraId="5E4F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2" w:type="pct"/>
            <w:shd w:val="clear" w:color="auto" w:fill="auto"/>
            <w:vAlign w:val="center"/>
          </w:tcPr>
          <w:p w14:paraId="6CDF384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4A7F1FE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09F7198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воды, 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79A8C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Подпитка, 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2F0B447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Аварийная подпитка, м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час</w:t>
            </w:r>
          </w:p>
        </w:tc>
      </w:tr>
      <w:tr w14:paraId="7D1E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92" w:type="pct"/>
            <w:shd w:val="clear" w:color="auto" w:fill="auto"/>
            <w:vAlign w:val="center"/>
          </w:tcPr>
          <w:p w14:paraId="20E5630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0" w:type="pct"/>
            <w:shd w:val="clear" w:color="auto" w:fill="auto"/>
            <w:vAlign w:val="center"/>
          </w:tcPr>
          <w:p w14:paraId="1B13E3F3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651C98C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151EBACE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6F12B8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2,0</w:t>
            </w:r>
          </w:p>
        </w:tc>
      </w:tr>
    </w:tbl>
    <w:p w14:paraId="2310D53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Согласно данным ООО «ТЕПЛОВДОМ» балансы теплоносителя на 2023-2024 г.г. выглядят следующим образом:</w:t>
      </w:r>
    </w:p>
    <w:p w14:paraId="57CF84B4">
      <w:pPr>
        <w:spacing w:line="240" w:lineRule="auto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11.7.2.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2977"/>
        <w:gridCol w:w="2233"/>
      </w:tblGrid>
      <w:tr w14:paraId="0A6E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11" w:type="dxa"/>
            <w:vAlign w:val="center"/>
          </w:tcPr>
          <w:p w14:paraId="4F22C74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44D3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г, м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33" w:type="dxa"/>
            <w:vAlign w:val="center"/>
          </w:tcPr>
          <w:p w14:paraId="5F84F31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г, м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14:paraId="3B097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11" w:type="dxa"/>
            <w:vAlign w:val="center"/>
          </w:tcPr>
          <w:p w14:paraId="4D628A3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(объем теплоносителя в системе/подпитка)</w:t>
            </w:r>
          </w:p>
        </w:tc>
        <w:tc>
          <w:tcPr>
            <w:tcW w:w="2977" w:type="dxa"/>
            <w:vAlign w:val="center"/>
          </w:tcPr>
          <w:p w14:paraId="585DFD88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510/94</w:t>
            </w:r>
          </w:p>
        </w:tc>
        <w:tc>
          <w:tcPr>
            <w:tcW w:w="2233" w:type="dxa"/>
            <w:vAlign w:val="center"/>
          </w:tcPr>
          <w:p w14:paraId="28D42D2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ED5672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510/94</w:t>
            </w:r>
          </w:p>
          <w:p w14:paraId="0BE3BE5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43F5C0A">
      <w:pPr>
        <w:rPr>
          <w:sz w:val="24"/>
          <w:szCs w:val="24"/>
        </w:rPr>
      </w:pPr>
    </w:p>
    <w:p w14:paraId="3DBAE132">
      <w:pPr>
        <w:pStyle w:val="3"/>
        <w:rPr>
          <w:sz w:val="24"/>
          <w:szCs w:val="24"/>
        </w:rPr>
      </w:pPr>
      <w:bookmarkStart w:id="25" w:name="_Toc245291"/>
      <w:r>
        <w:t>11.8.</w:t>
      </w:r>
      <w:r>
        <w:rPr>
          <w:sz w:val="24"/>
          <w:szCs w:val="24"/>
        </w:rPr>
        <w:t xml:space="preserve"> Топливные балансы источников тепловой энергии и система обеспечения топливом.</w:t>
      </w:r>
      <w:bookmarkEnd w:id="25"/>
    </w:p>
    <w:p w14:paraId="455E14DA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Основным видом топлива на котельных является природный горючий газ. Топливные балансы представлены в таблице 11.8.1.</w:t>
      </w:r>
    </w:p>
    <w:p w14:paraId="4552D94B">
      <w:pPr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11.8.1.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3447"/>
        <w:gridCol w:w="3118"/>
        <w:gridCol w:w="2943"/>
      </w:tblGrid>
      <w:tr w14:paraId="029A9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6F3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6CC3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котельной</w:t>
            </w:r>
          </w:p>
        </w:tc>
        <w:tc>
          <w:tcPr>
            <w:tcW w:w="14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52CC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 топлива за 2023 год, </w:t>
            </w:r>
          </w:p>
          <w:p w14:paraId="23C39D1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тыс.м3</w:t>
            </w:r>
          </w:p>
          <w:p w14:paraId="226F650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3DBA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 топлива за 2024 год, </w:t>
            </w:r>
          </w:p>
          <w:p w14:paraId="2B8E0676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тыс.м3</w:t>
            </w:r>
          </w:p>
        </w:tc>
      </w:tr>
      <w:tr w14:paraId="4AF29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3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293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9BCDC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14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F419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1531,455</w:t>
            </w:r>
          </w:p>
        </w:tc>
        <w:tc>
          <w:tcPr>
            <w:tcW w:w="14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39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1546,26</w:t>
            </w:r>
          </w:p>
        </w:tc>
      </w:tr>
    </w:tbl>
    <w:p w14:paraId="57FFE954">
      <w:pPr>
        <w:rPr>
          <w:sz w:val="24"/>
          <w:szCs w:val="24"/>
        </w:rPr>
      </w:pPr>
    </w:p>
    <w:p w14:paraId="0FA73248">
      <w:pPr>
        <w:pStyle w:val="3"/>
        <w:suppressAutoHyphens/>
        <w:rPr>
          <w:sz w:val="24"/>
          <w:szCs w:val="24"/>
        </w:rPr>
      </w:pPr>
      <w:bookmarkStart w:id="26" w:name="_Toc245292"/>
      <w:r>
        <w:t>11.9.</w:t>
      </w:r>
      <w:r>
        <w:rPr>
          <w:sz w:val="24"/>
          <w:szCs w:val="24"/>
        </w:rPr>
        <w:t xml:space="preserve"> Надежность теплоснабжения.</w:t>
      </w:r>
      <w:bookmarkEnd w:id="26"/>
    </w:p>
    <w:p w14:paraId="1C40A3D0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Применительно к системам теплоснабжения надёжность можно рассматривать как свойство системы: </w:t>
      </w:r>
    </w:p>
    <w:p w14:paraId="76D92A1E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Бесперебойно снабжать потребителей в необходимом количестве тепловой энергией требуемого качества. </w:t>
      </w:r>
    </w:p>
    <w:p w14:paraId="0431ACA6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Не допускать ситуаций, опасных для людей и окружающей среды. </w:t>
      </w:r>
    </w:p>
    <w:p w14:paraId="00B91794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 выполнение первой из сформулированных в определении надёжности функций, которая обусловлена назначением системы, влияют единичные свойства безотказности, ремонтопригодности, долговечности, сохраняемости, режимной управляемости, устойчиво способности и живучести. Выполнение второй функции, связанной с функционированием системы, зависит от свойств безотказности, ремонтопригодности, долговечности, сохраняемости, безопасности. </w:t>
      </w:r>
    </w:p>
    <w:p w14:paraId="57CA2FE1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Резервирование – один из основных методов повышения надёжности объектов, предполагающий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14:paraId="029B9D8A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Реализация различных видов резервирования обеспечивает резерв мощности (производительности,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продукции. </w:t>
      </w:r>
    </w:p>
    <w:p w14:paraId="26F76B0F">
      <w:pPr>
        <w:suppressAutoHyphens/>
        <w:ind w:firstLine="567"/>
        <w:rPr>
          <w:b/>
          <w:bCs/>
          <w:sz w:val="24"/>
          <w:szCs w:val="24"/>
        </w:rPr>
      </w:pPr>
    </w:p>
    <w:p w14:paraId="7CD2F391">
      <w:pPr>
        <w:suppressAutoHyphens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Показатели (критерии) надежности. </w:t>
      </w:r>
    </w:p>
    <w:p w14:paraId="0AE51FAA">
      <w:pPr>
        <w:suppressAutoHyphens/>
        <w:jc w:val="center"/>
        <w:rPr>
          <w:sz w:val="24"/>
          <w:szCs w:val="24"/>
        </w:rPr>
      </w:pPr>
    </w:p>
    <w:p w14:paraId="12FC79E7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Методические указания по анализу показателей, используемых для оценки надежности систем теплоснабжения, разработаны в соответствии с п. 2 Постановления Правительства Российской Федерации от 08.08.2012 г. № 808 «Об организации теплоснабжения в  Российской Федерации и о внесении изменений в некоторые акты Правительства Российской Федерации» </w:t>
      </w:r>
    </w:p>
    <w:p w14:paraId="7ADD4EC8">
      <w:pPr>
        <w:suppressAutoHyphens/>
        <w:jc w:val="center"/>
        <w:rPr>
          <w:b/>
          <w:sz w:val="24"/>
          <w:szCs w:val="24"/>
        </w:rPr>
      </w:pPr>
    </w:p>
    <w:p w14:paraId="172453E2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 надежности системы теплоснабжения - </w:t>
      </w:r>
      <w:r>
        <w:rPr>
          <w:b/>
          <w:color w:val="212529"/>
          <w:sz w:val="24"/>
          <w:szCs w:val="24"/>
          <w:shd w:val="clear" w:color="auto" w:fill="FFFFFF"/>
        </w:rPr>
        <w:t>источник тепловой энергии Модульная газовая котельная с. Чемодановка</w:t>
      </w:r>
      <w:r>
        <w:rPr>
          <w:b/>
          <w:sz w:val="24"/>
          <w:szCs w:val="24"/>
        </w:rPr>
        <w:t>:</w:t>
      </w:r>
    </w:p>
    <w:p w14:paraId="67B2B714">
      <w:pPr>
        <w:suppressAutoHyphens/>
        <w:rPr>
          <w:sz w:val="24"/>
          <w:szCs w:val="24"/>
        </w:rPr>
      </w:pPr>
    </w:p>
    <w:p w14:paraId="4E265A06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  <w:u w:val="single"/>
        </w:rPr>
        <w:t>Кэ - показатель надежности электроснабжения источников тепловой энергии</w:t>
      </w:r>
    </w:p>
    <w:p w14:paraId="30587744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характеризуется наличием или отсутствием резервного электропитания:</w:t>
      </w:r>
    </w:p>
    <w:p w14:paraId="4CE4326F">
      <w:pPr>
        <w:suppressAutoHyphens/>
        <w:rPr>
          <w:sz w:val="24"/>
          <w:szCs w:val="24"/>
        </w:rPr>
      </w:pPr>
      <w:r>
        <w:rPr>
          <w:sz w:val="24"/>
          <w:szCs w:val="24"/>
        </w:rPr>
        <w:t>при наличии резервного электроснабжения – Кэ = 1,0;</w:t>
      </w:r>
    </w:p>
    <w:p w14:paraId="696FB825">
      <w:pPr>
        <w:suppressAutoHyphens/>
        <w:rPr>
          <w:sz w:val="24"/>
          <w:szCs w:val="24"/>
        </w:rPr>
      </w:pPr>
    </w:p>
    <w:p w14:paraId="7DF84BE3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z w:val="24"/>
          <w:szCs w:val="24"/>
          <w:u w:val="single"/>
        </w:rPr>
        <w:t>Кв - показатель надежности водоснабжения источников тепловой энергии</w:t>
      </w:r>
    </w:p>
    <w:p w14:paraId="39844B9C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характеризуется наличием или отсутствием резервного водоснабжения:</w:t>
      </w:r>
    </w:p>
    <w:p w14:paraId="23557B29">
      <w:pPr>
        <w:suppressAutoHyphens/>
        <w:rPr>
          <w:sz w:val="24"/>
          <w:szCs w:val="24"/>
        </w:rPr>
      </w:pPr>
      <w:r>
        <w:rPr>
          <w:sz w:val="24"/>
          <w:szCs w:val="24"/>
        </w:rPr>
        <w:t>при наличии резервного водоснабжения – Кв = 1,0.</w:t>
      </w:r>
    </w:p>
    <w:p w14:paraId="2162A56B">
      <w:pPr>
        <w:suppressAutoHyphens/>
        <w:rPr>
          <w:sz w:val="24"/>
          <w:szCs w:val="24"/>
        </w:rPr>
      </w:pPr>
    </w:p>
    <w:p w14:paraId="6070C552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u w:val="single"/>
        </w:rPr>
        <w:t>Кт - показатель надежности топливоснабжения источников тепловой энергии</w:t>
      </w:r>
    </w:p>
    <w:p w14:paraId="614ED79E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характеризуется наличием или отсутствием резервного топливоснабжения:</w:t>
      </w:r>
    </w:p>
    <w:p w14:paraId="28B2B9C4">
      <w:pPr>
        <w:suppressAutoHyphens/>
        <w:rPr>
          <w:sz w:val="24"/>
          <w:szCs w:val="24"/>
        </w:rPr>
      </w:pPr>
      <w:r>
        <w:rPr>
          <w:sz w:val="24"/>
          <w:szCs w:val="24"/>
        </w:rPr>
        <w:t>принимаем Кт = 0 в связи с отсутствием необходимости наличия резервного топлива.</w:t>
      </w:r>
    </w:p>
    <w:p w14:paraId="6B8D6739">
      <w:pPr>
        <w:suppressAutoHyphens/>
        <w:rPr>
          <w:sz w:val="24"/>
          <w:szCs w:val="24"/>
        </w:rPr>
      </w:pPr>
    </w:p>
    <w:p w14:paraId="2ABDD970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z w:val="24"/>
          <w:szCs w:val="24"/>
          <w:u w:val="single"/>
        </w:rPr>
        <w:t>Ки - показатель надежности оборудования источников тепловой энергии</w:t>
      </w:r>
    </w:p>
    <w:p w14:paraId="504B6E89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характеризуется наличием или отсутствием акта проверки готовности источника тепловой энергии к отопительному периоду:</w:t>
      </w:r>
    </w:p>
    <w:p w14:paraId="78DC573B">
      <w:pPr>
        <w:suppressAutoHyphens/>
        <w:rPr>
          <w:sz w:val="24"/>
          <w:szCs w:val="24"/>
        </w:rPr>
      </w:pPr>
      <w:r>
        <w:rPr>
          <w:sz w:val="24"/>
          <w:szCs w:val="24"/>
        </w:rPr>
        <w:t>при наличии акта проверки готовности источника тепловой энергии к отопительному периоду без замечаний – Ки = 1,0.</w:t>
      </w:r>
    </w:p>
    <w:p w14:paraId="380B6DFE">
      <w:pPr>
        <w:suppressAutoHyphens/>
        <w:rPr>
          <w:sz w:val="24"/>
          <w:szCs w:val="24"/>
        </w:rPr>
      </w:pPr>
    </w:p>
    <w:p w14:paraId="298770FB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z w:val="24"/>
          <w:szCs w:val="24"/>
          <w:u w:val="single"/>
        </w:rPr>
        <w:t>Кб -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потребителей:</w:t>
      </w:r>
    </w:p>
    <w:p w14:paraId="4C062081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характеризуется долей (%)тепловой нагрузки, не обеспеченной мощностью источников тепловой энергии и/или пропускной способностью тепловых сетей:</w:t>
      </w:r>
    </w:p>
    <w:p w14:paraId="2219CE1B">
      <w:pPr>
        <w:suppressAutoHyphens/>
        <w:rPr>
          <w:sz w:val="24"/>
          <w:szCs w:val="24"/>
        </w:rPr>
      </w:pPr>
      <w:r>
        <w:rPr>
          <w:sz w:val="24"/>
          <w:szCs w:val="24"/>
        </w:rPr>
        <w:t>полная обеспеченность тепловой нагрузки мощностью источников тепловой энергии и пропускной способностью тепловых сетей – Кб = 1,0.</w:t>
      </w:r>
    </w:p>
    <w:p w14:paraId="5304A219">
      <w:pPr>
        <w:suppressAutoHyphens/>
        <w:rPr>
          <w:sz w:val="24"/>
          <w:szCs w:val="24"/>
        </w:rPr>
      </w:pPr>
    </w:p>
    <w:p w14:paraId="73CB6D13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z w:val="24"/>
          <w:szCs w:val="24"/>
          <w:u w:val="single"/>
        </w:rPr>
        <w:t>Кр - показатель уровня резервирования источников тепловой энергии и элементов тепловой сети путем их кольцевания и устройства перемычек:</w:t>
      </w:r>
    </w:p>
    <w:p w14:paraId="5E24637E">
      <w:pPr>
        <w:suppressAutoHyphens/>
        <w:rPr>
          <w:sz w:val="24"/>
          <w:szCs w:val="24"/>
        </w:rPr>
      </w:pPr>
      <w:r>
        <w:rPr>
          <w:sz w:val="24"/>
          <w:szCs w:val="24"/>
        </w:rPr>
        <w:t>характеризуемый отношением резервируемой расчетной тепловой нагрузки к сумме расчетных тепловых нагрузок (%), подлежащих резервированию согласно схеме теплоснабжения городских округов, выраженный в %:</w:t>
      </w:r>
    </w:p>
    <w:p w14:paraId="3509C0B3">
      <w:pPr>
        <w:suppressAutoHyphens/>
        <w:rPr>
          <w:sz w:val="24"/>
          <w:szCs w:val="24"/>
        </w:rPr>
      </w:pPr>
      <w:r>
        <w:rPr>
          <w:sz w:val="24"/>
          <w:szCs w:val="24"/>
        </w:rPr>
        <w:t>принимаем Кр = 0.</w:t>
      </w:r>
    </w:p>
    <w:p w14:paraId="52326A65">
      <w:pPr>
        <w:suppressAutoHyphens/>
        <w:rPr>
          <w:sz w:val="24"/>
          <w:szCs w:val="24"/>
        </w:rPr>
      </w:pPr>
    </w:p>
    <w:p w14:paraId="73287696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Показатели технического состояния и надежности тепловых сетей по адресу: Пензенская область, Бессоновский район, с. Чемодановка, ул. Фабричная </w:t>
      </w:r>
    </w:p>
    <w:p w14:paraId="725A46C9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0C5A7540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  <w:u w:val="single"/>
        </w:rPr>
        <w:t>Кс - показатель технического состояния тепловых сетей, характеризуемый долей ветхих, подлежащих замене трубопроводов,</w:t>
      </w:r>
      <w:r>
        <w:rPr>
          <w:sz w:val="24"/>
          <w:szCs w:val="24"/>
        </w:rPr>
        <w:t xml:space="preserve"> определяется по формуле:</w:t>
      </w:r>
    </w:p>
    <w:p w14:paraId="0550BED8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05B6067D">
      <w:pPr>
        <w:pStyle w:val="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Кс= (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эксп-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ветх)/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эксп</w:t>
      </w:r>
    </w:p>
    <w:p w14:paraId="3323AEB8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эксп – протяженность тепловых сетей, находящихся в эксплуатации,</w:t>
      </w:r>
    </w:p>
    <w:p w14:paraId="7AF2A35B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ветх – протяженность ветхих тепловых сетей, находящихся в эксплуатации;</w:t>
      </w:r>
    </w:p>
    <w:p w14:paraId="4971C415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2C7C345E">
      <w:pPr>
        <w:pStyle w:val="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1D2B7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Показатель технического состояния и надежности тепловых сетей по адресу: с. Чемодановка, ул. Фабричная  составляет:  (2777-0)/2777=1 </w:t>
      </w:r>
    </w:p>
    <w:p w14:paraId="5F2D84C7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704BBF60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Ктс – показатель надежности тепловых сетей по адресу с. Чемодановка, ул. Фабричная, </w:t>
      </w:r>
      <w:r>
        <w:rPr>
          <w:rFonts w:ascii="Times New Roman" w:hAnsi="Times New Roman" w:cs="Times New Roman"/>
          <w:sz w:val="24"/>
          <w:szCs w:val="24"/>
        </w:rPr>
        <w:t>определяется как средний по частным показателям Кб, Кр, Кс, Котк, Кнед:</w:t>
      </w:r>
    </w:p>
    <w:p w14:paraId="24F9B419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1A7EDE0E">
      <w:pPr>
        <w:pStyle w:val="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Ктс  составляет:  (1+0,11+1+0+0)/5=0,42</w:t>
      </w:r>
    </w:p>
    <w:p w14:paraId="101970B1">
      <w:pPr>
        <w:suppressAutoHyphens/>
        <w:rPr>
          <w:b/>
          <w:bCs/>
          <w:color w:val="000000"/>
          <w:sz w:val="24"/>
          <w:szCs w:val="24"/>
        </w:rPr>
      </w:pPr>
    </w:p>
    <w:p w14:paraId="3B04F338">
      <w:pPr>
        <w:suppressAutoHyphens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-34925</wp:posOffset>
            </wp:positionV>
            <wp:extent cx="2428875" cy="46609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66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4"/>
          <w:szCs w:val="24"/>
          <w:lang w:val="en-US"/>
        </w:rPr>
        <w:t>I</w:t>
      </w:r>
      <w:r>
        <w:rPr>
          <w:b/>
          <w:bCs/>
          <w:color w:val="000000"/>
          <w:sz w:val="24"/>
          <w:szCs w:val="24"/>
        </w:rPr>
        <w:t>. Показатель интенсивности отказов систем теплоснабжения:</w:t>
      </w:r>
    </w:p>
    <w:p w14:paraId="47F378AB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z w:val="24"/>
          <w:szCs w:val="24"/>
          <w:u w:val="single"/>
        </w:rPr>
        <w:t>Котк тс— показатель интенсивности отказов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устранением:</w:t>
      </w:r>
    </w:p>
    <w:p w14:paraId="62692357">
      <w:pPr>
        <w:suppressAutoHyphens/>
        <w:autoSpaceDE w:val="0"/>
        <w:spacing w:line="100" w:lineRule="atLeast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Иотк тс = nотк / S </w:t>
      </w:r>
    </w:p>
    <w:p w14:paraId="767DBE08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где</w:t>
      </w:r>
      <w:r>
        <w:rPr>
          <w:sz w:val="24"/>
          <w:szCs w:val="24"/>
        </w:rPr>
        <w:tab/>
      </w:r>
      <w:r>
        <w:rPr>
          <w:sz w:val="24"/>
          <w:szCs w:val="24"/>
        </w:rPr>
        <w:t>nотк - количество отказов за предыдущий год;</w:t>
      </w:r>
    </w:p>
    <w:p w14:paraId="50F03BA8">
      <w:pPr>
        <w:suppressAutoHyphens/>
        <w:autoSpaceDE w:val="0"/>
        <w:spacing w:line="100" w:lineRule="atLeast"/>
        <w:ind w:firstLine="706"/>
        <w:rPr>
          <w:sz w:val="24"/>
          <w:szCs w:val="24"/>
        </w:rPr>
      </w:pPr>
      <w:r>
        <w:rPr>
          <w:sz w:val="24"/>
          <w:szCs w:val="24"/>
        </w:rPr>
        <w:t>S - протяженность тепловой сети (в двухтрубном исполнении) данной системы теплоснабжения (км);</w:t>
      </w:r>
    </w:p>
    <w:p w14:paraId="2B2D7486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В зависимости от интенсивности отказов Иотк тс определяется показатель надежности тепловых сетей Котк тс:</w:t>
      </w:r>
    </w:p>
    <w:p w14:paraId="09DC0004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Иотк тс до 0,2 – Котк тс = 0.</w:t>
      </w:r>
    </w:p>
    <w:p w14:paraId="57F949EE">
      <w:pPr>
        <w:pStyle w:val="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Котк тс  составляет: 0/5554=0</w:t>
      </w:r>
    </w:p>
    <w:p w14:paraId="11961D4F">
      <w:pPr>
        <w:pStyle w:val="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F1E1D">
      <w:pPr>
        <w:pStyle w:val="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u w:val="single"/>
        </w:rPr>
        <w:t>Котк ит – показатель интенсивности отказов теплового источника, характеризуемый количеством вынужденных отказов источников тепловой энергии, с ограничением отпуска тепловой энергии потребителям, вызванным отказом и его устранением:</w:t>
      </w:r>
    </w:p>
    <w:p w14:paraId="5E632423">
      <w:pPr>
        <w:suppressAutoHyphens/>
        <w:autoSpaceDE w:val="0"/>
        <w:spacing w:line="100" w:lineRule="atLeast"/>
        <w:rPr>
          <w:sz w:val="24"/>
          <w:szCs w:val="24"/>
        </w:rPr>
      </w:pPr>
    </w:p>
    <w:p w14:paraId="1C6E383F">
      <w:pPr>
        <w:suppressAutoHyphens/>
        <w:autoSpaceDE w:val="0"/>
        <w:spacing w:line="10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Иотк ит = Кэ+Кв+Кт+Ки / 4</w:t>
      </w:r>
    </w:p>
    <w:p w14:paraId="4B708115">
      <w:pPr>
        <w:suppressAutoHyphens/>
        <w:autoSpaceDE w:val="0"/>
        <w:spacing w:line="100" w:lineRule="atLeast"/>
        <w:rPr>
          <w:sz w:val="24"/>
          <w:szCs w:val="24"/>
        </w:rPr>
      </w:pPr>
    </w:p>
    <w:p w14:paraId="3614E54F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В зависимости от интенсивности отказов Иотк ит определяется показатель надежности теплового источника Котк ит:</w:t>
      </w:r>
    </w:p>
    <w:p w14:paraId="5AADEA01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Иотк ит до 0,2 – Котк ит = 1,0.</w:t>
      </w:r>
    </w:p>
    <w:p w14:paraId="5CF70E30">
      <w:pPr>
        <w:pStyle w:val="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Кнед тс  составил: 1+1+0+1/4=0,75</w:t>
      </w:r>
    </w:p>
    <w:p w14:paraId="0CE841E0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Показатель надежности источников тепловой энергии Кист </w:t>
      </w:r>
      <w:r>
        <w:rPr>
          <w:rFonts w:ascii="Times New Roman" w:hAnsi="Times New Roman" w:cs="Times New Roman"/>
          <w:sz w:val="24"/>
          <w:szCs w:val="24"/>
        </w:rPr>
        <w:t>определяется как средний по частным показателям Кэ, Кв, Кт, Ки:</w:t>
      </w:r>
    </w:p>
    <w:p w14:paraId="4533DA35">
      <w:pPr>
        <w:pStyle w:val="42"/>
        <w:jc w:val="both"/>
        <w:rPr>
          <w:rFonts w:ascii="Times New Roman" w:hAnsi="Times New Roman" w:cs="Times New Roman"/>
          <w:sz w:val="24"/>
          <w:szCs w:val="24"/>
        </w:rPr>
      </w:pPr>
    </w:p>
    <w:p w14:paraId="7147070E">
      <w:pPr>
        <w:suppressAutoHyphens/>
        <w:rPr>
          <w:b/>
          <w:bCs/>
          <w:sz w:val="24"/>
          <w:szCs w:val="24"/>
        </w:rPr>
      </w:pPr>
    </w:p>
    <w:p w14:paraId="4CE6A231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  <w:u w:val="single"/>
        </w:rPr>
        <w:t>Кнед - показатель относительного аварийного недоотпуска тепла в результате внеплановых отключений теплопотребляющих установок потребителей:</w:t>
      </w:r>
    </w:p>
    <w:p w14:paraId="46E90040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533525" cy="4572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где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 xml:space="preserve"> откл - недоотпуск тепла, Гкал</w:t>
      </w:r>
    </w:p>
    <w:p w14:paraId="73BB77E8">
      <w:pPr>
        <w:suppressAutoHyphens/>
        <w:autoSpaceDE w:val="0"/>
        <w:spacing w:line="100" w:lineRule="atLeast"/>
        <w:ind w:firstLine="706"/>
        <w:rPr>
          <w:sz w:val="24"/>
          <w:szCs w:val="24"/>
        </w:rPr>
      </w:pPr>
      <w:r>
        <w:rPr>
          <w:sz w:val="24"/>
          <w:szCs w:val="24"/>
          <w:lang w:val="en-US"/>
        </w:rPr>
        <w:t>Q</w:t>
      </w:r>
      <w:r>
        <w:rPr>
          <w:sz w:val="24"/>
          <w:szCs w:val="24"/>
        </w:rPr>
        <w:t xml:space="preserve"> факт - фактический отпуск тепла системой теплоснабжения, Гкал</w:t>
      </w:r>
    </w:p>
    <w:p w14:paraId="79F3E541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>В зависимости от величины относительного недоотпуска тепла Qнед определяется показатель надежности Кнед:</w:t>
      </w:r>
    </w:p>
    <w:p w14:paraId="1CAEF70F">
      <w:pPr>
        <w:pStyle w:val="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Qнед до 0,1% включительно - Кнед = 0</w:t>
      </w:r>
    </w:p>
    <w:p w14:paraId="7F48CB71">
      <w:pPr>
        <w:suppressAutoHyphens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Показатель Кнед тс  составил: 0/8913,21=0</w:t>
      </w:r>
    </w:p>
    <w:p w14:paraId="26B1BBD1">
      <w:pPr>
        <w:suppressAutoHyphens/>
        <w:rPr>
          <w:b/>
          <w:bCs/>
          <w:color w:val="000000"/>
          <w:sz w:val="24"/>
          <w:szCs w:val="24"/>
        </w:rPr>
      </w:pPr>
    </w:p>
    <w:p w14:paraId="0B7F0DE1">
      <w:pPr>
        <w:suppressAutoHyphens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Показатели укомплектованности и наличия основных средств</w:t>
      </w:r>
    </w:p>
    <w:p w14:paraId="2444391F">
      <w:pPr>
        <w:suppressAutoHyphens/>
        <w:rPr>
          <w:b/>
          <w:bCs/>
          <w:color w:val="000000"/>
          <w:sz w:val="24"/>
          <w:szCs w:val="24"/>
        </w:rPr>
      </w:pPr>
    </w:p>
    <w:p w14:paraId="68501F91">
      <w:p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>
        <w:rPr>
          <w:color w:val="000000"/>
          <w:sz w:val="24"/>
          <w:szCs w:val="24"/>
          <w:u w:val="single"/>
        </w:rPr>
        <w:t>Кп - показатель укомплектованности ремонтным и оперативно-ремонтным персоналом</w:t>
      </w:r>
      <w:r>
        <w:rPr>
          <w:color w:val="000000"/>
          <w:sz w:val="24"/>
          <w:szCs w:val="24"/>
        </w:rPr>
        <w:t xml:space="preserve"> определяется как отношение фактической численности к численности по действующим нормативам, но не более 1,0; Кп=0,99.</w:t>
      </w:r>
    </w:p>
    <w:p w14:paraId="64D7FE8D">
      <w:p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>
        <w:rPr>
          <w:color w:val="000000"/>
          <w:sz w:val="24"/>
          <w:szCs w:val="24"/>
          <w:u w:val="single"/>
        </w:rPr>
        <w:t>Км - показатель оснащенности машинами, специальными механизмами и оборудованием</w:t>
      </w:r>
      <w:r>
        <w:rPr>
          <w:color w:val="000000"/>
          <w:sz w:val="24"/>
          <w:szCs w:val="24"/>
        </w:rPr>
        <w:t xml:space="preserve"> принимается как среднее отношение фактического наличия к количеству, определенному по нормативам, по основной номенклатуре (машины, специальные механизмы, оборудование). Принимаемые для определения значения общего Км частные показатели не должны быть выше 1,0; Км=1.</w:t>
      </w:r>
    </w:p>
    <w:p w14:paraId="4D4D513F">
      <w:p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</w:t>
      </w:r>
      <w:r>
        <w:rPr>
          <w:color w:val="000000"/>
          <w:sz w:val="24"/>
          <w:szCs w:val="24"/>
          <w:u w:val="single"/>
        </w:rPr>
        <w:t>Ктр - показатель наличия основных материально-технических ресурсов</w:t>
      </w:r>
      <w:r>
        <w:rPr>
          <w:color w:val="000000"/>
          <w:sz w:val="24"/>
          <w:szCs w:val="24"/>
        </w:rPr>
        <w:t xml:space="preserve"> определяется как среднее отношение фактического наличия к количеству, определенному по нормативам, по основной номенклатуре ресурсов (трубы, компенсаторы, арматура, сварочные материалы и т.п.). Принимаемые для определения значения общего Ктр частные показатели не должны быть выше 1,0; Ктр=1.</w:t>
      </w:r>
    </w:p>
    <w:p w14:paraId="2A32B88D">
      <w:p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4) </w:t>
      </w:r>
      <w:r>
        <w:rPr>
          <w:color w:val="000000"/>
          <w:sz w:val="24"/>
          <w:szCs w:val="24"/>
          <w:u w:val="single"/>
        </w:rPr>
        <w:t>Кист -  показатель укомплектованности передвижными автономными источниками электропитания для ведения аварийно-восстановительных работ</w:t>
      </w:r>
      <w:r>
        <w:rPr>
          <w:color w:val="000000"/>
          <w:sz w:val="24"/>
          <w:szCs w:val="24"/>
        </w:rPr>
        <w:t xml:space="preserve"> вычисляется как отношение фактического наличия данного оборудования (в единицах мощности - кВт) к потребности; Кист=1.</w:t>
      </w:r>
    </w:p>
    <w:p w14:paraId="76DECAD1">
      <w:pPr>
        <w:suppressAutoHyphens/>
        <w:autoSpaceDE w:val="0"/>
        <w:spacing w:line="100" w:lineRule="atLeast"/>
        <w:rPr>
          <w:rFonts w:eastAsia="Times New Roman"/>
          <w:b/>
          <w:color w:val="212529"/>
          <w:sz w:val="24"/>
          <w:szCs w:val="24"/>
          <w:lang w:eastAsia="ru-RU"/>
        </w:rPr>
      </w:pPr>
    </w:p>
    <w:p w14:paraId="5C17ACB5">
      <w:pPr>
        <w:suppressAutoHyphens/>
        <w:autoSpaceDE w:val="0"/>
        <w:spacing w:line="100" w:lineRule="atLeast"/>
        <w:rPr>
          <w:rFonts w:eastAsia="Times New Roman"/>
          <w:b/>
          <w:color w:val="212529"/>
          <w:sz w:val="24"/>
          <w:szCs w:val="24"/>
          <w:lang w:eastAsia="ru-RU"/>
        </w:rPr>
      </w:pPr>
      <w:r>
        <w:rPr>
          <w:rFonts w:eastAsia="Times New Roman"/>
          <w:b/>
          <w:color w:val="212529"/>
          <w:sz w:val="24"/>
          <w:szCs w:val="24"/>
          <w:lang w:eastAsia="ru-RU"/>
        </w:rPr>
        <w:t>Оценка надежности систем теплоснабжения.</w:t>
      </w:r>
    </w:p>
    <w:p w14:paraId="13499477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08D1649D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5) </w:t>
      </w:r>
      <w:r>
        <w:rPr>
          <w:color w:val="000000"/>
          <w:sz w:val="24"/>
          <w:szCs w:val="24"/>
          <w:u w:val="single"/>
        </w:rPr>
        <w:t>Общий показатель готовности теплоснабжающих организаций Кгот</w:t>
      </w:r>
      <w:r>
        <w:rPr>
          <w:color w:val="000000"/>
          <w:sz w:val="24"/>
          <w:szCs w:val="24"/>
        </w:rPr>
        <w:t xml:space="preserve"> к проведению аварийно-восстановительных работ в системах теплоснабжения определяется следующим образом:</w:t>
      </w:r>
    </w:p>
    <w:p w14:paraId="640D842B">
      <w:pPr>
        <w:suppressAutoHyphens/>
        <w:autoSpaceDE w:val="0"/>
        <w:spacing w:line="10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Кгот = 0,25 * Кп + 0,35 * Км + 0,3 * Ктр + 0,1 * Кист</w:t>
      </w:r>
    </w:p>
    <w:p w14:paraId="75945B1B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577813D1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Общая оценка готовности при Кгот = 0,99:</w:t>
      </w:r>
    </w:p>
    <w:tbl>
      <w:tblPr>
        <w:tblStyle w:val="6"/>
        <w:tblW w:w="0" w:type="auto"/>
        <w:tblInd w:w="75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1418"/>
        <w:gridCol w:w="2126"/>
        <w:gridCol w:w="4253"/>
      </w:tblGrid>
      <w:tr w14:paraId="0D1C1DE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9D2041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Кгот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EB239A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(Кп; Км); Ктр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7115">
            <w:pPr>
              <w:suppressAutoHyphens/>
              <w:autoSpaceDE w:val="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 готовности</w:t>
            </w:r>
          </w:p>
        </w:tc>
      </w:tr>
      <w:tr w14:paraId="30A2C9A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B4EB23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0,85 - 1,0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AD4F9E">
            <w:pPr>
              <w:suppressAutoHyphens/>
              <w:autoSpaceDE w:val="0"/>
              <w:spacing w:line="10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0,75 и более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3930">
            <w:pPr>
              <w:suppressAutoHyphens/>
              <w:autoSpaceDE w:val="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удовлетворительная готовность</w:t>
            </w:r>
          </w:p>
        </w:tc>
      </w:tr>
    </w:tbl>
    <w:p w14:paraId="701E854C">
      <w:pPr>
        <w:suppressAutoHyphens/>
        <w:autoSpaceDE w:val="0"/>
        <w:spacing w:line="100" w:lineRule="atLeast"/>
        <w:ind w:firstLine="540"/>
        <w:rPr>
          <w:b/>
          <w:bCs/>
          <w:color w:val="000000"/>
          <w:sz w:val="24"/>
          <w:szCs w:val="24"/>
        </w:rPr>
      </w:pPr>
    </w:p>
    <w:p w14:paraId="5DECA3F4">
      <w:pPr>
        <w:suppressAutoHyphens/>
        <w:autoSpaceDE w:val="0"/>
        <w:spacing w:line="100" w:lineRule="atLeas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6) </w:t>
      </w:r>
      <w:r>
        <w:rPr>
          <w:color w:val="000000"/>
          <w:sz w:val="24"/>
          <w:szCs w:val="24"/>
          <w:u w:val="single"/>
        </w:rPr>
        <w:t>Кж — показатель бесперебойного теплоснабжения</w:t>
      </w:r>
      <w:r>
        <w:rPr>
          <w:color w:val="000000"/>
          <w:sz w:val="24"/>
          <w:szCs w:val="24"/>
        </w:rPr>
        <w:t xml:space="preserve"> определяется на основе жалоб потребителей:</w:t>
      </w:r>
    </w:p>
    <w:p w14:paraId="5A5A9E7B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04925" cy="5041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04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</w:rPr>
        <w:t>где  Джал - количество зданий, по которым поступили жалобы на работу системы теплоснабжения,</w:t>
      </w:r>
    </w:p>
    <w:p w14:paraId="617EC287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Дсумм - количество зданий, снабжающихся теплом от системы теплоснабжения,</w:t>
      </w:r>
    </w:p>
    <w:p w14:paraId="56F999D2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зависимости от рассчитанного коэффициента Ж определяется показатель надежности Кж:</w:t>
      </w:r>
    </w:p>
    <w:p w14:paraId="408EF2E4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 до 0,2 - Кж = 1,0</w:t>
      </w:r>
    </w:p>
    <w:p w14:paraId="4708FA5B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</w:p>
    <w:p w14:paraId="3E79539E">
      <w:pPr>
        <w:suppressAutoHyphen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Оценка надежности систем теплоснабжения ООО «ТЕПЛОВДОМ»</w:t>
      </w:r>
    </w:p>
    <w:p w14:paraId="71415C92">
      <w:pPr>
        <w:suppressAutoHyphens/>
        <w:autoSpaceDE w:val="0"/>
        <w:spacing w:line="1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зависимости от полученных показателей надежности источники тепловой энергии и тепловые сети оценены как надежные</w:t>
      </w:r>
    </w:p>
    <w:p w14:paraId="717142CA">
      <w:pPr>
        <w:suppressAutoHyphens/>
        <w:autoSpaceDE w:val="0"/>
        <w:spacing w:line="10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Вывод:</w:t>
      </w:r>
    </w:p>
    <w:p w14:paraId="211C3EFD">
      <w:pPr>
        <w:suppressAutoHyphens/>
        <w:autoSpaceDE w:val="0"/>
        <w:spacing w:line="100" w:lineRule="atLeas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Общая оценка надежности системы теплоснабжения ООО «ТЕПЛОВДОМ» определяется как надежная.</w:t>
      </w:r>
    </w:p>
    <w:p w14:paraId="0E96F8A7">
      <w:pPr>
        <w:pStyle w:val="3"/>
        <w:suppressAutoHyphens/>
        <w:rPr>
          <w:sz w:val="24"/>
          <w:szCs w:val="24"/>
        </w:rPr>
      </w:pPr>
      <w:bookmarkStart w:id="27" w:name="_Toc245293"/>
      <w:r>
        <w:t>11.10.</w:t>
      </w:r>
      <w:r>
        <w:rPr>
          <w:sz w:val="24"/>
          <w:szCs w:val="24"/>
        </w:rPr>
        <w:t xml:space="preserve"> Технико-экономические показатели теплоснабжающих и теплосетевых организаций.</w:t>
      </w:r>
      <w:bookmarkEnd w:id="27"/>
    </w:p>
    <w:p w14:paraId="50CDD930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предприятия: </w:t>
      </w:r>
      <w:r>
        <w:rPr>
          <w:color w:val="000000"/>
          <w:sz w:val="24"/>
          <w:szCs w:val="24"/>
        </w:rPr>
        <w:t xml:space="preserve"> ООО «ТЕПЛОВДОМ» участок в с. Чемодановка</w:t>
      </w:r>
    </w:p>
    <w:p w14:paraId="0411DAF6">
      <w:pPr>
        <w:suppressAutoHyphens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Основным направлением деятельности организации является производство, передача и распределение тепловой энергии потребителям.</w:t>
      </w:r>
    </w:p>
    <w:p w14:paraId="3C09BEA6">
      <w:pPr>
        <w:pStyle w:val="3"/>
        <w:rPr>
          <w:sz w:val="24"/>
          <w:szCs w:val="24"/>
        </w:rPr>
      </w:pPr>
      <w:bookmarkStart w:id="28" w:name="_Toc245294"/>
      <w:r>
        <w:t>11.11.</w:t>
      </w:r>
      <w:r>
        <w:rPr>
          <w:sz w:val="24"/>
          <w:szCs w:val="24"/>
        </w:rPr>
        <w:t xml:space="preserve"> Цены (тарифы) на тепловую энергию.</w:t>
      </w:r>
      <w:bookmarkEnd w:id="28"/>
    </w:p>
    <w:p w14:paraId="5CE3B162">
      <w:pPr>
        <w:ind w:firstLine="567"/>
        <w:rPr>
          <w:sz w:val="24"/>
          <w:szCs w:val="24"/>
        </w:rPr>
      </w:pPr>
      <w:r>
        <w:rPr>
          <w:sz w:val="24"/>
          <w:szCs w:val="24"/>
        </w:rPr>
        <w:t>Тарифы на тепловую энергию представлены в таблице 11.11.1.</w:t>
      </w:r>
    </w:p>
    <w:p w14:paraId="2618D698">
      <w:pPr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11.11.1.</w:t>
      </w:r>
    </w:p>
    <w:tbl>
      <w:tblPr>
        <w:tblStyle w:val="6"/>
        <w:tblW w:w="500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1277"/>
        <w:gridCol w:w="5083"/>
      </w:tblGrid>
      <w:tr w14:paraId="25822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D3E7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9" w:name="_Hlk533044341"/>
            <w:r>
              <w:rPr>
                <w:b/>
                <w:bCs/>
                <w:color w:val="000000"/>
                <w:sz w:val="24"/>
                <w:szCs w:val="24"/>
              </w:rPr>
              <w:t>Теплоснабжение (отопление)</w:t>
            </w:r>
          </w:p>
        </w:tc>
      </w:tr>
      <w:tr w14:paraId="459BC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9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5437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Для всех потребителей (без НДС)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486B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руб./Гкал</w:t>
            </w:r>
          </w:p>
        </w:tc>
        <w:tc>
          <w:tcPr>
            <w:tcW w:w="24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5FD86">
            <w:pPr>
              <w:jc w:val="left"/>
              <w:rPr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Правоустанавливающий документ</w:t>
            </w:r>
          </w:p>
        </w:tc>
      </w:tr>
      <w:tr w14:paraId="10C22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9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A53B8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01.01.2024 г. по 30.06.2024 г.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ABB2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2174,34</w:t>
            </w:r>
          </w:p>
        </w:tc>
        <w:tc>
          <w:tcPr>
            <w:tcW w:w="24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A5B7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тарифов и энергосбережению Пензенской области от 14.12.2023  №26-138/ОД.</w:t>
            </w:r>
          </w:p>
          <w:p w14:paraId="19DB6519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</w:p>
        </w:tc>
      </w:tr>
      <w:tr w14:paraId="0F08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9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955F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01.07.2024 г. по 31.12.2024 г.</w:t>
            </w:r>
          </w:p>
          <w:p w14:paraId="5ECE3C78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01.01.2025 г. по 30.06.2025г.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2A089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2375,30</w:t>
            </w:r>
          </w:p>
        </w:tc>
        <w:tc>
          <w:tcPr>
            <w:tcW w:w="243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96653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тарифов и энергосбережению Пензенской области от 14.12.2023  №26-138/ОД.</w:t>
            </w:r>
          </w:p>
          <w:p w14:paraId="4843293D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От 18.12.2024 №26-133/ОД.</w:t>
            </w:r>
          </w:p>
          <w:p w14:paraId="7F05728B">
            <w:pPr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tr w14:paraId="3B78F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9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A7A8C">
            <w:pPr>
              <w:jc w:val="left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С 01.07.2025 г. по 31.12.2025 г.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C07FA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2693,89</w:t>
            </w:r>
          </w:p>
        </w:tc>
        <w:tc>
          <w:tcPr>
            <w:tcW w:w="2435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E7B9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Приказ Управления по регулированию тарифов и энергосбережению Пензенской области от 18.12.2024  №26-133/ОД;</w:t>
            </w:r>
          </w:p>
          <w:p w14:paraId="00D661F7">
            <w:pPr>
              <w:jc w:val="left"/>
              <w:rPr>
                <w:iCs/>
                <w:color w:val="000000"/>
                <w:sz w:val="24"/>
                <w:szCs w:val="24"/>
              </w:rPr>
            </w:pPr>
          </w:p>
        </w:tc>
      </w:tr>
      <w:bookmarkEnd w:id="29"/>
    </w:tbl>
    <w:p w14:paraId="2BCA2C14">
      <w:pPr>
        <w:rPr>
          <w:sz w:val="24"/>
          <w:szCs w:val="24"/>
        </w:rPr>
      </w:pPr>
    </w:p>
    <w:p w14:paraId="0609BF3B">
      <w:pPr>
        <w:pStyle w:val="3"/>
        <w:rPr>
          <w:sz w:val="24"/>
          <w:szCs w:val="24"/>
        </w:rPr>
      </w:pPr>
      <w:bookmarkStart w:id="30" w:name="_Toc245295"/>
      <w:r>
        <w:t>1.12.</w:t>
      </w:r>
      <w:r>
        <w:rPr>
          <w:sz w:val="24"/>
          <w:szCs w:val="24"/>
        </w:rPr>
        <w:t xml:space="preserve"> Описание существующих технических и технологических проблем в системах теплоснабжения.</w:t>
      </w:r>
      <w:bookmarkEnd w:id="30"/>
    </w:p>
    <w:p w14:paraId="3EF9E43E">
      <w:pPr>
        <w:ind w:firstLine="567"/>
        <w:rPr>
          <w:sz w:val="24"/>
          <w:szCs w:val="24"/>
        </w:rPr>
      </w:pPr>
      <w:r>
        <w:rPr>
          <w:sz w:val="24"/>
          <w:szCs w:val="24"/>
        </w:rPr>
        <w:t>1. Износ 50% участков тепловых сетей и тепловой изоляции.</w:t>
      </w:r>
    </w:p>
    <w:p w14:paraId="5AE1908D">
      <w:pPr>
        <w:rPr>
          <w:sz w:val="24"/>
          <w:szCs w:val="24"/>
        </w:rPr>
      </w:pPr>
    </w:p>
    <w:p w14:paraId="491101EB">
      <w:pPr>
        <w:pStyle w:val="2"/>
        <w:suppressAutoHyphens/>
      </w:pPr>
      <w:bookmarkStart w:id="31" w:name="_Toc245296"/>
      <w:r>
        <w:t>Раздел 12. «Существующие и перспективное потребление тепловой энергии на цели теплоснабжения»</w:t>
      </w:r>
      <w:bookmarkEnd w:id="31"/>
    </w:p>
    <w:p w14:paraId="2C837EFF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12.1.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94"/>
        <w:gridCol w:w="761"/>
        <w:gridCol w:w="1556"/>
        <w:gridCol w:w="1274"/>
        <w:gridCol w:w="1274"/>
        <w:gridCol w:w="1047"/>
        <w:gridCol w:w="1274"/>
        <w:gridCol w:w="1274"/>
        <w:gridCol w:w="1222"/>
      </w:tblGrid>
      <w:tr w14:paraId="3EE01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66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4BABC252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66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74A9AC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Строительство новых объектов жилого фонда, объектов соцкультбыта, м2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420C01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строящиеся здания, Гкал/час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775757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строящихся зданий, Гкал/год</w:t>
            </w:r>
          </w:p>
        </w:tc>
        <w:tc>
          <w:tcPr>
            <w:tcW w:w="54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027300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Снос ветхого и аварийного жилищного фонда, м2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A6ACE1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Нагрузка на отопление, приходящаяся на сносимые здания, Гкал/час</w:t>
            </w:r>
          </w:p>
        </w:tc>
        <w:tc>
          <w:tcPr>
            <w:tcW w:w="6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E72309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Годовая нагрузка, приходящаяся на систему отопления сносимых зданий, Гкал/год</w:t>
            </w:r>
          </w:p>
        </w:tc>
        <w:tc>
          <w:tcPr>
            <w:tcW w:w="51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DBFB7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      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(снижение) нагрузки на систему отопления Гкал/год</w:t>
            </w:r>
          </w:p>
        </w:tc>
      </w:tr>
      <w:tr w14:paraId="4E78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00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3729824F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Модульная автономная котельная 10Мвт</w:t>
            </w:r>
          </w:p>
        </w:tc>
      </w:tr>
      <w:tr w14:paraId="21247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03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btLr"/>
            <w:vAlign w:val="bottom"/>
          </w:tcPr>
          <w:p w14:paraId="0C6948B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36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E18142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CC9534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28C154C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319C3E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E7E213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7CDAEDF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8BA841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6695EF6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36CD49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14:paraId="64A0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03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F87CB10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785EE51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8147A8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4AD9CD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36660A8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996FF99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0D86014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7EAD4C1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6F0C2C2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D6C73BB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14:paraId="3F66B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03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E25B9E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859977B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01504F3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16BD21D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0689BD8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82F8A4E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2D9AE33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3FCA88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EDA204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11435F4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37D116B4">
      <w:pPr>
        <w:rPr>
          <w:sz w:val="24"/>
          <w:szCs w:val="24"/>
        </w:rPr>
      </w:pPr>
    </w:p>
    <w:p w14:paraId="6B60BD39">
      <w:pPr>
        <w:suppressAutoHyphens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Наладочный расчет тепловой сети </w:t>
      </w:r>
    </w:p>
    <w:p w14:paraId="794818A2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Целью наладочного расчета является обеспечение потребителей расчетным количеством воды и тепловой энергии. В результате расчета осуществляется подбор элеваторов и их сопел, производится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 </w:t>
      </w:r>
    </w:p>
    <w:p w14:paraId="5DE5F277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 </w:t>
      </w:r>
    </w:p>
    <w:p w14:paraId="5993A38F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Дросселирование избыточных напоров на абонентских вводах производят с помощью сопел элеваторов и дроссельных шайб. Дроссельные шайбы перед абонентскими вводами устанавливаются автоматически на подающем, обратном или обоих трубопроводах в зависимости от необходимого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 </w:t>
      </w:r>
    </w:p>
    <w:p w14:paraId="0FF6871C">
      <w:pPr>
        <w:suppressAutoHyphens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Поверочный расчет тепловой сети. </w:t>
      </w:r>
    </w:p>
    <w:p w14:paraId="7FA9EEB2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источнике. </w:t>
      </w:r>
    </w:p>
    <w:p w14:paraId="35372557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 </w:t>
      </w:r>
    </w:p>
    <w:p w14:paraId="1FA04C0E">
      <w:pPr>
        <w:suppressAutoHyphens/>
        <w:ind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входе и выходе в каждую систему теплопотребления.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 </w:t>
      </w:r>
    </w:p>
    <w:p w14:paraId="054EB0A2">
      <w:pPr>
        <w:pStyle w:val="2"/>
        <w:suppressAutoHyphens/>
      </w:pPr>
      <w:bookmarkStart w:id="32" w:name="_Toc245298"/>
      <w:r>
        <w:t>Раздел 13. «Существующие и перспективные балансы тепловой мощности источников тепловой энергии и тепловой нагрузки»</w:t>
      </w:r>
      <w:bookmarkEnd w:id="32"/>
    </w:p>
    <w:tbl>
      <w:tblPr>
        <w:tblStyle w:val="6"/>
        <w:tblW w:w="49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396"/>
        <w:gridCol w:w="1415"/>
        <w:gridCol w:w="1702"/>
        <w:gridCol w:w="2127"/>
      </w:tblGrid>
      <w:tr w14:paraId="1C59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275765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2131" w:type="pct"/>
          </w:tcPr>
          <w:p w14:paraId="5ED503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86" w:type="pct"/>
          </w:tcPr>
          <w:p w14:paraId="2CE4B9A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Общая плщадь,м</w:t>
            </w:r>
            <w:r>
              <w:rPr>
                <w:sz w:val="24"/>
                <w:szCs w:val="24"/>
                <w:vertAlign w:val="superscript"/>
              </w:rPr>
              <w:t>2.</w:t>
            </w:r>
          </w:p>
        </w:tc>
        <w:tc>
          <w:tcPr>
            <w:tcW w:w="825" w:type="pct"/>
          </w:tcPr>
          <w:p w14:paraId="5DB37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 теплоносителя, т/ч.</w:t>
            </w:r>
          </w:p>
        </w:tc>
        <w:tc>
          <w:tcPr>
            <w:tcW w:w="1031" w:type="pct"/>
          </w:tcPr>
          <w:p w14:paraId="4819A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нагрузка, Гкал/ч.</w:t>
            </w:r>
          </w:p>
        </w:tc>
      </w:tr>
      <w:tr w14:paraId="23FE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AFD4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31" w:type="pct"/>
          </w:tcPr>
          <w:p w14:paraId="209A1C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</w:t>
            </w:r>
          </w:p>
        </w:tc>
        <w:tc>
          <w:tcPr>
            <w:tcW w:w="686" w:type="pct"/>
          </w:tcPr>
          <w:p w14:paraId="533D8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1388,42</w:t>
            </w:r>
          </w:p>
        </w:tc>
        <w:tc>
          <w:tcPr>
            <w:tcW w:w="825" w:type="pct"/>
          </w:tcPr>
          <w:p w14:paraId="7AF23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5,48</w:t>
            </w:r>
          </w:p>
        </w:tc>
        <w:tc>
          <w:tcPr>
            <w:tcW w:w="1031" w:type="pct"/>
          </w:tcPr>
          <w:p w14:paraId="3A853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0,137</w:t>
            </w:r>
          </w:p>
        </w:tc>
      </w:tr>
      <w:tr w14:paraId="0437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9A28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1" w:type="pct"/>
          </w:tcPr>
          <w:p w14:paraId="1B7A3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2</w:t>
            </w:r>
          </w:p>
        </w:tc>
        <w:tc>
          <w:tcPr>
            <w:tcW w:w="686" w:type="pct"/>
          </w:tcPr>
          <w:p w14:paraId="3B006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1405,00</w:t>
            </w:r>
          </w:p>
        </w:tc>
        <w:tc>
          <w:tcPr>
            <w:tcW w:w="825" w:type="pct"/>
          </w:tcPr>
          <w:p w14:paraId="19ACC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5,56</w:t>
            </w:r>
          </w:p>
        </w:tc>
        <w:tc>
          <w:tcPr>
            <w:tcW w:w="1031" w:type="pct"/>
          </w:tcPr>
          <w:p w14:paraId="15A8B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0,139</w:t>
            </w:r>
          </w:p>
        </w:tc>
      </w:tr>
      <w:tr w14:paraId="4EE9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A470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31" w:type="pct"/>
          </w:tcPr>
          <w:p w14:paraId="42222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3</w:t>
            </w:r>
          </w:p>
        </w:tc>
        <w:tc>
          <w:tcPr>
            <w:tcW w:w="686" w:type="pct"/>
          </w:tcPr>
          <w:p w14:paraId="33450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1396,03</w:t>
            </w:r>
          </w:p>
        </w:tc>
        <w:tc>
          <w:tcPr>
            <w:tcW w:w="825" w:type="pct"/>
          </w:tcPr>
          <w:p w14:paraId="79E70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5,68</w:t>
            </w:r>
          </w:p>
        </w:tc>
        <w:tc>
          <w:tcPr>
            <w:tcW w:w="1031" w:type="pct"/>
          </w:tcPr>
          <w:p w14:paraId="2E42AC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0,142</w:t>
            </w:r>
          </w:p>
        </w:tc>
      </w:tr>
      <w:tr w14:paraId="7AC6D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9221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31" w:type="pct"/>
          </w:tcPr>
          <w:p w14:paraId="5AD53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4</w:t>
            </w:r>
          </w:p>
        </w:tc>
        <w:tc>
          <w:tcPr>
            <w:tcW w:w="686" w:type="pct"/>
          </w:tcPr>
          <w:p w14:paraId="4047F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1384,36</w:t>
            </w:r>
          </w:p>
        </w:tc>
        <w:tc>
          <w:tcPr>
            <w:tcW w:w="825" w:type="pct"/>
          </w:tcPr>
          <w:p w14:paraId="22ED57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5,44</w:t>
            </w:r>
          </w:p>
        </w:tc>
        <w:tc>
          <w:tcPr>
            <w:tcW w:w="1031" w:type="pct"/>
          </w:tcPr>
          <w:p w14:paraId="06300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0,136</w:t>
            </w:r>
          </w:p>
        </w:tc>
      </w:tr>
      <w:tr w14:paraId="77B0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9AFE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1" w:type="pct"/>
          </w:tcPr>
          <w:p w14:paraId="2BE969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5</w:t>
            </w:r>
          </w:p>
        </w:tc>
        <w:tc>
          <w:tcPr>
            <w:tcW w:w="686" w:type="pct"/>
          </w:tcPr>
          <w:p w14:paraId="3485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2868,40</w:t>
            </w:r>
          </w:p>
        </w:tc>
        <w:tc>
          <w:tcPr>
            <w:tcW w:w="825" w:type="pct"/>
          </w:tcPr>
          <w:p w14:paraId="7A692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2EB884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0,194</w:t>
            </w:r>
          </w:p>
        </w:tc>
      </w:tr>
      <w:tr w14:paraId="2511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785E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31" w:type="pct"/>
          </w:tcPr>
          <w:p w14:paraId="27E00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6</w:t>
            </w:r>
          </w:p>
        </w:tc>
        <w:tc>
          <w:tcPr>
            <w:tcW w:w="686" w:type="pct"/>
          </w:tcPr>
          <w:p w14:paraId="595FB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2935,80</w:t>
            </w:r>
          </w:p>
        </w:tc>
        <w:tc>
          <w:tcPr>
            <w:tcW w:w="825" w:type="pct"/>
          </w:tcPr>
          <w:p w14:paraId="487BE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55A48F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0,194</w:t>
            </w:r>
          </w:p>
        </w:tc>
      </w:tr>
      <w:tr w14:paraId="31EF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1EEB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31" w:type="pct"/>
          </w:tcPr>
          <w:p w14:paraId="3A5285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7</w:t>
            </w:r>
          </w:p>
        </w:tc>
        <w:tc>
          <w:tcPr>
            <w:tcW w:w="686" w:type="pct"/>
          </w:tcPr>
          <w:p w14:paraId="0AE1A0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2956,80</w:t>
            </w:r>
          </w:p>
        </w:tc>
        <w:tc>
          <w:tcPr>
            <w:tcW w:w="825" w:type="pct"/>
          </w:tcPr>
          <w:p w14:paraId="0CDC8C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04079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0,193</w:t>
            </w:r>
          </w:p>
        </w:tc>
      </w:tr>
      <w:tr w14:paraId="7377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094D4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31" w:type="pct"/>
          </w:tcPr>
          <w:p w14:paraId="789FB7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8</w:t>
            </w:r>
          </w:p>
        </w:tc>
        <w:tc>
          <w:tcPr>
            <w:tcW w:w="686" w:type="pct"/>
          </w:tcPr>
          <w:p w14:paraId="22545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2952,50</w:t>
            </w:r>
          </w:p>
        </w:tc>
        <w:tc>
          <w:tcPr>
            <w:tcW w:w="825" w:type="pct"/>
          </w:tcPr>
          <w:p w14:paraId="17E1C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4B757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0,193</w:t>
            </w:r>
          </w:p>
        </w:tc>
      </w:tr>
      <w:tr w14:paraId="53AD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8EAF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31" w:type="pct"/>
          </w:tcPr>
          <w:p w14:paraId="28B75F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9</w:t>
            </w:r>
          </w:p>
        </w:tc>
        <w:tc>
          <w:tcPr>
            <w:tcW w:w="686" w:type="pct"/>
          </w:tcPr>
          <w:p w14:paraId="1DD33A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2914,90</w:t>
            </w:r>
          </w:p>
        </w:tc>
        <w:tc>
          <w:tcPr>
            <w:tcW w:w="825" w:type="pct"/>
          </w:tcPr>
          <w:p w14:paraId="4B846C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7,72</w:t>
            </w:r>
          </w:p>
        </w:tc>
        <w:tc>
          <w:tcPr>
            <w:tcW w:w="1031" w:type="pct"/>
          </w:tcPr>
          <w:p w14:paraId="3249C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0,193</w:t>
            </w:r>
          </w:p>
        </w:tc>
      </w:tr>
      <w:tr w14:paraId="48A0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492BA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31" w:type="pct"/>
          </w:tcPr>
          <w:p w14:paraId="2BF3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10</w:t>
            </w:r>
          </w:p>
        </w:tc>
        <w:tc>
          <w:tcPr>
            <w:tcW w:w="686" w:type="pct"/>
          </w:tcPr>
          <w:p w14:paraId="2D6CA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2966,40</w:t>
            </w:r>
          </w:p>
        </w:tc>
        <w:tc>
          <w:tcPr>
            <w:tcW w:w="825" w:type="pct"/>
          </w:tcPr>
          <w:p w14:paraId="3D7E3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7,76</w:t>
            </w:r>
          </w:p>
        </w:tc>
        <w:tc>
          <w:tcPr>
            <w:tcW w:w="1031" w:type="pct"/>
          </w:tcPr>
          <w:p w14:paraId="2D2D9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0,194</w:t>
            </w:r>
          </w:p>
        </w:tc>
      </w:tr>
      <w:tr w14:paraId="09A7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042D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31" w:type="pct"/>
          </w:tcPr>
          <w:p w14:paraId="007152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11</w:t>
            </w:r>
          </w:p>
        </w:tc>
        <w:tc>
          <w:tcPr>
            <w:tcW w:w="686" w:type="pct"/>
          </w:tcPr>
          <w:p w14:paraId="16666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2856,96</w:t>
            </w:r>
          </w:p>
        </w:tc>
        <w:tc>
          <w:tcPr>
            <w:tcW w:w="825" w:type="pct"/>
          </w:tcPr>
          <w:p w14:paraId="71489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7,80</w:t>
            </w:r>
          </w:p>
        </w:tc>
        <w:tc>
          <w:tcPr>
            <w:tcW w:w="1031" w:type="pct"/>
          </w:tcPr>
          <w:p w14:paraId="0A0F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0,195</w:t>
            </w:r>
          </w:p>
        </w:tc>
      </w:tr>
      <w:tr w14:paraId="5BE3E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718333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31" w:type="pct"/>
          </w:tcPr>
          <w:p w14:paraId="515A77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12</w:t>
            </w:r>
          </w:p>
        </w:tc>
        <w:tc>
          <w:tcPr>
            <w:tcW w:w="686" w:type="pct"/>
          </w:tcPr>
          <w:p w14:paraId="169DF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3459,00</w:t>
            </w:r>
          </w:p>
        </w:tc>
        <w:tc>
          <w:tcPr>
            <w:tcW w:w="825" w:type="pct"/>
          </w:tcPr>
          <w:p w14:paraId="44510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8,84</w:t>
            </w:r>
          </w:p>
        </w:tc>
        <w:tc>
          <w:tcPr>
            <w:tcW w:w="1031" w:type="pct"/>
          </w:tcPr>
          <w:p w14:paraId="73A3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0,221</w:t>
            </w:r>
          </w:p>
        </w:tc>
      </w:tr>
      <w:tr w14:paraId="41CF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1F9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1" w:type="pct"/>
          </w:tcPr>
          <w:p w14:paraId="69DBF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13</w:t>
            </w:r>
          </w:p>
        </w:tc>
        <w:tc>
          <w:tcPr>
            <w:tcW w:w="686" w:type="pct"/>
          </w:tcPr>
          <w:p w14:paraId="36ED6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3336,60</w:t>
            </w:r>
          </w:p>
        </w:tc>
        <w:tc>
          <w:tcPr>
            <w:tcW w:w="825" w:type="pct"/>
          </w:tcPr>
          <w:p w14:paraId="4D05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031" w:type="pct"/>
          </w:tcPr>
          <w:p w14:paraId="5C22E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0,223</w:t>
            </w:r>
          </w:p>
        </w:tc>
      </w:tr>
      <w:tr w14:paraId="638D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4B038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31" w:type="pct"/>
          </w:tcPr>
          <w:p w14:paraId="62503A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14</w:t>
            </w:r>
          </w:p>
        </w:tc>
        <w:tc>
          <w:tcPr>
            <w:tcW w:w="686" w:type="pct"/>
          </w:tcPr>
          <w:p w14:paraId="3AE432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5163,50</w:t>
            </w:r>
          </w:p>
        </w:tc>
        <w:tc>
          <w:tcPr>
            <w:tcW w:w="825" w:type="pct"/>
          </w:tcPr>
          <w:p w14:paraId="5F7CF5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13,36</w:t>
            </w:r>
          </w:p>
        </w:tc>
        <w:tc>
          <w:tcPr>
            <w:tcW w:w="1031" w:type="pct"/>
          </w:tcPr>
          <w:p w14:paraId="57E411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0,334</w:t>
            </w:r>
          </w:p>
        </w:tc>
      </w:tr>
      <w:tr w14:paraId="4018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6D53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31" w:type="pct"/>
          </w:tcPr>
          <w:p w14:paraId="2DE7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15</w:t>
            </w:r>
          </w:p>
        </w:tc>
        <w:tc>
          <w:tcPr>
            <w:tcW w:w="686" w:type="pct"/>
          </w:tcPr>
          <w:p w14:paraId="1DAAA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5116,00</w:t>
            </w:r>
          </w:p>
        </w:tc>
        <w:tc>
          <w:tcPr>
            <w:tcW w:w="825" w:type="pct"/>
          </w:tcPr>
          <w:p w14:paraId="37A01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13,36</w:t>
            </w:r>
          </w:p>
        </w:tc>
        <w:tc>
          <w:tcPr>
            <w:tcW w:w="1031" w:type="pct"/>
          </w:tcPr>
          <w:p w14:paraId="12EA4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0,334</w:t>
            </w:r>
          </w:p>
        </w:tc>
      </w:tr>
      <w:tr w14:paraId="1AFC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7CECB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31" w:type="pct"/>
          </w:tcPr>
          <w:p w14:paraId="21541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16</w:t>
            </w:r>
          </w:p>
        </w:tc>
        <w:tc>
          <w:tcPr>
            <w:tcW w:w="686" w:type="pct"/>
          </w:tcPr>
          <w:p w14:paraId="31510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3479,07</w:t>
            </w:r>
          </w:p>
        </w:tc>
        <w:tc>
          <w:tcPr>
            <w:tcW w:w="825" w:type="pct"/>
          </w:tcPr>
          <w:p w14:paraId="0C1AF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8,92</w:t>
            </w:r>
          </w:p>
        </w:tc>
        <w:tc>
          <w:tcPr>
            <w:tcW w:w="1031" w:type="pct"/>
          </w:tcPr>
          <w:p w14:paraId="023DE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0,223</w:t>
            </w:r>
          </w:p>
        </w:tc>
      </w:tr>
      <w:tr w14:paraId="66B5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E633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31" w:type="pct"/>
          </w:tcPr>
          <w:p w14:paraId="6E62E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17</w:t>
            </w:r>
          </w:p>
        </w:tc>
        <w:tc>
          <w:tcPr>
            <w:tcW w:w="686" w:type="pct"/>
          </w:tcPr>
          <w:p w14:paraId="645D0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3441,20</w:t>
            </w:r>
          </w:p>
        </w:tc>
        <w:tc>
          <w:tcPr>
            <w:tcW w:w="825" w:type="pct"/>
          </w:tcPr>
          <w:p w14:paraId="5FF643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10,24</w:t>
            </w:r>
          </w:p>
        </w:tc>
        <w:tc>
          <w:tcPr>
            <w:tcW w:w="1031" w:type="pct"/>
          </w:tcPr>
          <w:p w14:paraId="058552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0,256</w:t>
            </w:r>
          </w:p>
        </w:tc>
      </w:tr>
      <w:tr w14:paraId="62D2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C525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31" w:type="pct"/>
          </w:tcPr>
          <w:p w14:paraId="5CF29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18А</w:t>
            </w:r>
          </w:p>
        </w:tc>
        <w:tc>
          <w:tcPr>
            <w:tcW w:w="686" w:type="pct"/>
          </w:tcPr>
          <w:p w14:paraId="62C5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3532,60</w:t>
            </w:r>
          </w:p>
        </w:tc>
        <w:tc>
          <w:tcPr>
            <w:tcW w:w="825" w:type="pct"/>
          </w:tcPr>
          <w:p w14:paraId="4B340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10,60</w:t>
            </w:r>
          </w:p>
        </w:tc>
        <w:tc>
          <w:tcPr>
            <w:tcW w:w="1031" w:type="pct"/>
          </w:tcPr>
          <w:p w14:paraId="25F2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0,265</w:t>
            </w:r>
          </w:p>
        </w:tc>
      </w:tr>
      <w:tr w14:paraId="507F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92EF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31" w:type="pct"/>
          </w:tcPr>
          <w:p w14:paraId="593B5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19А</w:t>
            </w:r>
          </w:p>
        </w:tc>
        <w:tc>
          <w:tcPr>
            <w:tcW w:w="686" w:type="pct"/>
          </w:tcPr>
          <w:p w14:paraId="551D1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4177,80</w:t>
            </w:r>
          </w:p>
        </w:tc>
        <w:tc>
          <w:tcPr>
            <w:tcW w:w="825" w:type="pct"/>
          </w:tcPr>
          <w:p w14:paraId="58B5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13,76</w:t>
            </w:r>
          </w:p>
        </w:tc>
        <w:tc>
          <w:tcPr>
            <w:tcW w:w="1031" w:type="pct"/>
          </w:tcPr>
          <w:p w14:paraId="34E85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0,344</w:t>
            </w:r>
          </w:p>
        </w:tc>
      </w:tr>
      <w:tr w14:paraId="2C9D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2431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31" w:type="pct"/>
          </w:tcPr>
          <w:p w14:paraId="73A24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20А</w:t>
            </w:r>
          </w:p>
        </w:tc>
        <w:tc>
          <w:tcPr>
            <w:tcW w:w="686" w:type="pct"/>
          </w:tcPr>
          <w:p w14:paraId="32A7F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3564,60</w:t>
            </w:r>
          </w:p>
        </w:tc>
        <w:tc>
          <w:tcPr>
            <w:tcW w:w="825" w:type="pct"/>
          </w:tcPr>
          <w:p w14:paraId="71D1B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12,24</w:t>
            </w:r>
          </w:p>
        </w:tc>
        <w:tc>
          <w:tcPr>
            <w:tcW w:w="1031" w:type="pct"/>
          </w:tcPr>
          <w:p w14:paraId="146CC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0,306</w:t>
            </w:r>
          </w:p>
        </w:tc>
      </w:tr>
      <w:tr w14:paraId="7BA3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400EF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31" w:type="pct"/>
          </w:tcPr>
          <w:p w14:paraId="18D7D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21А</w:t>
            </w:r>
          </w:p>
        </w:tc>
        <w:tc>
          <w:tcPr>
            <w:tcW w:w="686" w:type="pct"/>
          </w:tcPr>
          <w:p w14:paraId="2B0AF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5531,90</w:t>
            </w:r>
          </w:p>
        </w:tc>
        <w:tc>
          <w:tcPr>
            <w:tcW w:w="825" w:type="pct"/>
          </w:tcPr>
          <w:p w14:paraId="5F233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18,50</w:t>
            </w:r>
          </w:p>
        </w:tc>
        <w:tc>
          <w:tcPr>
            <w:tcW w:w="1031" w:type="pct"/>
          </w:tcPr>
          <w:p w14:paraId="658D5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0,444</w:t>
            </w:r>
          </w:p>
        </w:tc>
      </w:tr>
      <w:tr w14:paraId="1D231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7087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31" w:type="pct"/>
          </w:tcPr>
          <w:p w14:paraId="7A2D6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 33А</w:t>
            </w:r>
          </w:p>
        </w:tc>
        <w:tc>
          <w:tcPr>
            <w:tcW w:w="686" w:type="pct"/>
          </w:tcPr>
          <w:p w14:paraId="3B7B3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1764,70</w:t>
            </w:r>
          </w:p>
        </w:tc>
        <w:tc>
          <w:tcPr>
            <w:tcW w:w="825" w:type="pct"/>
          </w:tcPr>
          <w:p w14:paraId="007B7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6,92</w:t>
            </w:r>
          </w:p>
        </w:tc>
        <w:tc>
          <w:tcPr>
            <w:tcW w:w="1031" w:type="pct"/>
          </w:tcPr>
          <w:p w14:paraId="1BA82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0,173</w:t>
            </w:r>
          </w:p>
        </w:tc>
      </w:tr>
      <w:tr w14:paraId="4C7A7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668FF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31" w:type="pct"/>
          </w:tcPr>
          <w:p w14:paraId="3B39BAA9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ИМ.С.Е.КУЗНЕЦОВА, с. Чемодановка, ул. Школьная, 1А</w:t>
            </w:r>
          </w:p>
        </w:tc>
        <w:tc>
          <w:tcPr>
            <w:tcW w:w="686" w:type="pct"/>
          </w:tcPr>
          <w:p w14:paraId="30BAC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6559,00</w:t>
            </w:r>
          </w:p>
        </w:tc>
        <w:tc>
          <w:tcPr>
            <w:tcW w:w="825" w:type="pct"/>
          </w:tcPr>
          <w:p w14:paraId="07DF8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24,84</w:t>
            </w:r>
          </w:p>
        </w:tc>
        <w:tc>
          <w:tcPr>
            <w:tcW w:w="1031" w:type="pct"/>
          </w:tcPr>
          <w:p w14:paraId="25FBE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0,6211</w:t>
            </w:r>
          </w:p>
        </w:tc>
      </w:tr>
      <w:tr w14:paraId="47EE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10882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31" w:type="pct"/>
          </w:tcPr>
          <w:p w14:paraId="52A2E998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ДС, с. Чемодановка, ул. Спортивная, 12А</w:t>
            </w:r>
          </w:p>
        </w:tc>
        <w:tc>
          <w:tcPr>
            <w:tcW w:w="686" w:type="pct"/>
          </w:tcPr>
          <w:p w14:paraId="4EE8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2755,50</w:t>
            </w:r>
          </w:p>
        </w:tc>
        <w:tc>
          <w:tcPr>
            <w:tcW w:w="825" w:type="pct"/>
          </w:tcPr>
          <w:p w14:paraId="3E842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031" w:type="pct"/>
          </w:tcPr>
          <w:p w14:paraId="6FEF3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0,2124</w:t>
            </w:r>
          </w:p>
        </w:tc>
      </w:tr>
      <w:tr w14:paraId="68F8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2A031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31" w:type="pct"/>
          </w:tcPr>
          <w:p w14:paraId="545020B5">
            <w:pPr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ЦКДС «Юбилейный»,  с. Чемодановка, ул. Спортивная, 7а</w:t>
            </w:r>
          </w:p>
        </w:tc>
        <w:tc>
          <w:tcPr>
            <w:tcW w:w="686" w:type="pct"/>
          </w:tcPr>
          <w:p w14:paraId="2103A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1785,70</w:t>
            </w:r>
          </w:p>
        </w:tc>
        <w:tc>
          <w:tcPr>
            <w:tcW w:w="825" w:type="pct"/>
          </w:tcPr>
          <w:p w14:paraId="243ED5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7,52</w:t>
            </w:r>
          </w:p>
        </w:tc>
        <w:tc>
          <w:tcPr>
            <w:tcW w:w="1031" w:type="pct"/>
          </w:tcPr>
          <w:p w14:paraId="199E4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</w:tr>
      <w:tr w14:paraId="6BDE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3BDF32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31" w:type="pct"/>
          </w:tcPr>
          <w:p w14:paraId="7CA5237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ИМ.С.Е.КУЗНЕЦОВА, с. Чемодановка, ул.Фабричная,55А</w:t>
            </w:r>
          </w:p>
        </w:tc>
        <w:tc>
          <w:tcPr>
            <w:tcW w:w="686" w:type="pct"/>
          </w:tcPr>
          <w:p w14:paraId="664EB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7752,51</w:t>
            </w:r>
          </w:p>
        </w:tc>
        <w:tc>
          <w:tcPr>
            <w:tcW w:w="825" w:type="pct"/>
          </w:tcPr>
          <w:p w14:paraId="74E32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29,36</w:t>
            </w:r>
          </w:p>
        </w:tc>
        <w:tc>
          <w:tcPr>
            <w:tcW w:w="1031" w:type="pct"/>
          </w:tcPr>
          <w:p w14:paraId="492D59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0,734</w:t>
            </w:r>
          </w:p>
        </w:tc>
      </w:tr>
      <w:tr w14:paraId="7444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" w:type="pct"/>
          </w:tcPr>
          <w:p w14:paraId="5837BBA3">
            <w:pPr>
              <w:rPr>
                <w:b/>
                <w:sz w:val="24"/>
                <w:szCs w:val="24"/>
              </w:rPr>
            </w:pPr>
          </w:p>
        </w:tc>
        <w:tc>
          <w:tcPr>
            <w:tcW w:w="2131" w:type="pct"/>
          </w:tcPr>
          <w:p w14:paraId="6D2645A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86" w:type="pct"/>
          </w:tcPr>
          <w:p w14:paraId="704A6D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87 445,25</w:t>
            </w:r>
          </w:p>
        </w:tc>
        <w:tc>
          <w:tcPr>
            <w:tcW w:w="825" w:type="pct"/>
          </w:tcPr>
          <w:p w14:paraId="72655D45">
            <w:pPr>
              <w:rPr>
                <w:b/>
                <w:sz w:val="24"/>
                <w:szCs w:val="24"/>
              </w:rPr>
            </w:pPr>
          </w:p>
        </w:tc>
        <w:tc>
          <w:tcPr>
            <w:tcW w:w="1031" w:type="pct"/>
          </w:tcPr>
          <w:p w14:paraId="35B823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7,1005</w:t>
            </w:r>
          </w:p>
        </w:tc>
      </w:tr>
    </w:tbl>
    <w:p w14:paraId="0CEA8EAD">
      <w:pPr>
        <w:rPr>
          <w:sz w:val="24"/>
          <w:szCs w:val="24"/>
        </w:rPr>
      </w:pPr>
    </w:p>
    <w:p w14:paraId="1394C622">
      <w:pPr>
        <w:rPr>
          <w:sz w:val="24"/>
          <w:szCs w:val="24"/>
        </w:rPr>
      </w:pPr>
    </w:p>
    <w:p w14:paraId="4D81BCC0">
      <w:pPr>
        <w:rPr>
          <w:b/>
          <w:sz w:val="24"/>
          <w:szCs w:val="24"/>
        </w:rPr>
      </w:pPr>
      <w:r>
        <w:rPr>
          <w:b/>
          <w:szCs w:val="28"/>
        </w:rPr>
        <w:t>13.1</w:t>
      </w:r>
      <w:r>
        <w:rPr>
          <w:sz w:val="24"/>
          <w:szCs w:val="24"/>
        </w:rPr>
        <w:t xml:space="preserve"> Модульная автономная  котельная  10 Мвт.</w:t>
      </w:r>
    </w:p>
    <w:p w14:paraId="0532E6A6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13.1.</w:t>
      </w:r>
    </w:p>
    <w:tbl>
      <w:tblPr>
        <w:tblStyle w:val="6"/>
        <w:tblW w:w="484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6896"/>
        <w:gridCol w:w="2010"/>
      </w:tblGrid>
      <w:tr w14:paraId="0C98D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1A1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FB4A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99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2202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2024-2025</w:t>
            </w:r>
          </w:p>
        </w:tc>
      </w:tr>
      <w:tr w14:paraId="1264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7B3F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02FC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Установленная тепловая мощность,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684DF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8,53</w:t>
            </w:r>
          </w:p>
        </w:tc>
      </w:tr>
      <w:tr w14:paraId="7D929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F4E0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4E5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Свободная тепловая мощность,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82E3C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14:paraId="28729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12A2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BF144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Располагаемая тепловая мощность,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38D5B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8,53</w:t>
            </w:r>
          </w:p>
        </w:tc>
      </w:tr>
      <w:tr w14:paraId="683FC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4E6E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A2DBC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Тепловая мощность, потребляемая котельной на собственные нужды,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989F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</w:tr>
      <w:tr w14:paraId="2311F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18F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20D29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Тепловые потери в сетях,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F969D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14:paraId="660FB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9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2C7D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38A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Расчетная подключенная нагрузка потребителей, Гкал/час</w:t>
            </w:r>
          </w:p>
        </w:tc>
        <w:tc>
          <w:tcPr>
            <w:tcW w:w="9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1A16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7,1005</w:t>
            </w:r>
          </w:p>
        </w:tc>
      </w:tr>
    </w:tbl>
    <w:p w14:paraId="02EF6DB6">
      <w:pPr>
        <w:rPr>
          <w:b/>
          <w:sz w:val="24"/>
          <w:szCs w:val="24"/>
        </w:rPr>
      </w:pPr>
    </w:p>
    <w:p w14:paraId="3650901F">
      <w:pPr>
        <w:pStyle w:val="2"/>
      </w:pPr>
      <w:bookmarkStart w:id="33" w:name="_Toc245299"/>
      <w:r>
        <w:t>Раздел 14. «Мастер-план развития систем теплоснабжения»</w:t>
      </w:r>
      <w:bookmarkEnd w:id="33"/>
      <w:r>
        <w:t>.</w:t>
      </w:r>
    </w:p>
    <w:p w14:paraId="4BB5C729">
      <w:pPr>
        <w:suppressAutoHyphens/>
        <w:ind w:firstLine="708"/>
        <w:rPr>
          <w:rFonts w:eastAsia="Times New Roman"/>
          <w:szCs w:val="28"/>
        </w:rPr>
      </w:pPr>
      <w:r>
        <w:rPr>
          <w:rFonts w:eastAsia="Times New Roman"/>
          <w:szCs w:val="28"/>
        </w:rPr>
        <w:t>При разработке настоящей Схемы теплоснабжения варианты мастер-плана не определялись. При актуализации Схемы теплоснабжения дополнительных вариантов не рассматривалось.</w:t>
      </w:r>
    </w:p>
    <w:p w14:paraId="17A64ED5">
      <w:pPr>
        <w:suppressAutoHyphens/>
        <w:ind w:firstLine="708"/>
      </w:pPr>
      <w:r>
        <w:rPr>
          <w:rFonts w:eastAsia="Times New Roman"/>
          <w:szCs w:val="28"/>
        </w:rPr>
        <w:t>В качестве сценария развития теплоснабжения принято дальнейшее выполнение мероприятий, предложенных в настоящей Схеме теплоснабжения, для надежного обеспечения спроса на тепловую мощность и тепловую энергию существующих 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14:paraId="622AFA2C">
      <w:pPr>
        <w:pStyle w:val="2"/>
        <w:suppressAutoHyphens/>
      </w:pPr>
      <w:bookmarkStart w:id="34" w:name="_Toc245300"/>
      <w:r>
        <w:t>Раздел 15.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</w:r>
      <w:bookmarkEnd w:id="34"/>
      <w:r>
        <w:t>.</w:t>
      </w:r>
    </w:p>
    <w:p w14:paraId="25CC5E0D">
      <w:pPr>
        <w:suppressAutoHyphens/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Согласно приложению №23 СНиП  2.04.07-86* "Тепловые сети":</w:t>
      </w:r>
    </w:p>
    <w:p w14:paraId="2C40DA10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зданий. </w:t>
      </w:r>
    </w:p>
    <w:p w14:paraId="4EFA5A46">
      <w:pPr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>- объем воды в системах теплоснабжения при отсутствии данных по фактическим объемам воды допускается принимать равным 65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на 1 МВт расчетного теплового потока при закрытой системе теплоснабжения.</w:t>
      </w:r>
    </w:p>
    <w:p w14:paraId="75660DB0">
      <w:pPr>
        <w:suppressAutoHyphens/>
        <w:rPr>
          <w:sz w:val="24"/>
          <w:szCs w:val="24"/>
        </w:rPr>
      </w:pPr>
      <w:r>
        <w:rPr>
          <w:sz w:val="24"/>
          <w:szCs w:val="24"/>
        </w:rPr>
        <w:t>Расходы теплоносителя на подпитку тепловой сети на основные этапы разработки схемы теплоснабжения по каждому из вариантов представлены в таблице 5.1.</w:t>
      </w:r>
    </w:p>
    <w:p w14:paraId="6728061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Таблица15.1.</w:t>
      </w:r>
    </w:p>
    <w:tbl>
      <w:tblPr>
        <w:tblStyle w:val="6"/>
        <w:tblW w:w="4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3776"/>
        <w:gridCol w:w="2357"/>
        <w:gridCol w:w="2834"/>
      </w:tblGrid>
      <w:tr w14:paraId="3B97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02" w:type="pct"/>
            <w:shd w:val="clear" w:color="auto" w:fill="auto"/>
            <w:vAlign w:val="center"/>
          </w:tcPr>
          <w:p w14:paraId="057F2CA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2" w:type="pct"/>
            <w:shd w:val="clear" w:color="auto" w:fill="auto"/>
            <w:vAlign w:val="center"/>
          </w:tcPr>
          <w:p w14:paraId="7AE1ADC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источника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3ED4AFB1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воды в системе, 2023-2025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064F1A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Подпитка, 2023-2025</w:t>
            </w:r>
          </w:p>
        </w:tc>
      </w:tr>
      <w:tr w14:paraId="188D2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02" w:type="pct"/>
            <w:shd w:val="clear" w:color="auto" w:fill="auto"/>
            <w:vAlign w:val="center"/>
          </w:tcPr>
          <w:p w14:paraId="2AF4C25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2" w:type="pct"/>
            <w:shd w:val="clear" w:color="auto" w:fill="auto"/>
            <w:vAlign w:val="center"/>
          </w:tcPr>
          <w:p w14:paraId="0ACFE5A3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Модульная автономная  котельная  10 Мвт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64A95E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454,5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50A9AE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</w:tr>
    </w:tbl>
    <w:p w14:paraId="7AA83FBE">
      <w:pPr>
        <w:pStyle w:val="2"/>
      </w:pPr>
      <w:bookmarkStart w:id="35" w:name="_Toc245301"/>
      <w:r>
        <w:t>Раздел 16. «Предложения по строительству, реконструкции и техническому перевооружению источников тепловой энергии»</w:t>
      </w:r>
      <w:bookmarkEnd w:id="35"/>
      <w:r>
        <w:t>.</w:t>
      </w:r>
    </w:p>
    <w:p w14:paraId="23A24826">
      <w:pPr>
        <w:ind w:firstLine="567"/>
      </w:pPr>
      <w:r>
        <w:t>В целях дальнейшего бесперебойного обеспечения потребителей тепловой энергией необходимо произвести комплекс работ по возможности использования основным и вспомогательным оборудованием котельных в с. Чемодановка в качестве основного вида топлива – природный горючий газ, резервное по проекту не предусмотрено.</w:t>
      </w:r>
    </w:p>
    <w:tbl>
      <w:tblPr>
        <w:tblStyle w:val="6"/>
        <w:tblW w:w="477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5446"/>
        <w:gridCol w:w="1589"/>
        <w:gridCol w:w="2203"/>
      </w:tblGrid>
      <w:tr w14:paraId="3B64B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B6917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DF7CD9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9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96CC4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  <w:tc>
          <w:tcPr>
            <w:tcW w:w="110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27C95D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стоимость, млн. руб.</w:t>
            </w:r>
          </w:p>
        </w:tc>
      </w:tr>
      <w:tr w14:paraId="6A50C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C436C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35CE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котельной, установка частотных преобразователей</w:t>
            </w:r>
          </w:p>
        </w:tc>
        <w:tc>
          <w:tcPr>
            <w:tcW w:w="799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F0D002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68A363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</w:tr>
      <w:tr w14:paraId="27F78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9A0DB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CE087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99" w:type="pc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0E53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AA8D32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0,085</w:t>
            </w:r>
          </w:p>
        </w:tc>
      </w:tr>
    </w:tbl>
    <w:p w14:paraId="63A0CDBC">
      <w:pPr>
        <w:pStyle w:val="2"/>
      </w:pPr>
      <w:bookmarkStart w:id="36" w:name="_Toc245302"/>
      <w:r>
        <w:t>Раздел 17. «Предложения по строительству и реконструкции тепловых сетей и сооружений на них»</w:t>
      </w:r>
      <w:bookmarkEnd w:id="36"/>
    </w:p>
    <w:p w14:paraId="2B019817">
      <w:pPr>
        <w:ind w:firstLine="567"/>
        <w:rPr>
          <w:sz w:val="24"/>
          <w:szCs w:val="24"/>
        </w:rPr>
      </w:pPr>
      <w:r>
        <w:rPr>
          <w:szCs w:val="28"/>
        </w:rPr>
        <w:t>Мероприятия по ремонту тепловых сетей предусмотрены в ООО «ТЕПЛОВДОМ» на 2024-2030годы</w:t>
      </w:r>
      <w:r>
        <w:rPr>
          <w:sz w:val="24"/>
          <w:szCs w:val="24"/>
        </w:rPr>
        <w:t>.</w:t>
      </w:r>
    </w:p>
    <w:p w14:paraId="773473C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Таблица 17.1.</w:t>
      </w:r>
    </w:p>
    <w:tbl>
      <w:tblPr>
        <w:tblStyle w:val="6"/>
        <w:tblW w:w="477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5446"/>
        <w:gridCol w:w="1589"/>
        <w:gridCol w:w="2203"/>
      </w:tblGrid>
      <w:tr w14:paraId="69E1E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4AC029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38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8BAAC26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79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6B240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  <w:tc>
          <w:tcPr>
            <w:tcW w:w="110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5285C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Ориентировочная стоимость, млн. руб.</w:t>
            </w:r>
          </w:p>
        </w:tc>
      </w:tr>
      <w:tr w14:paraId="5BF23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DA7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68A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тепловых сетей, замена существующей тепловой изоляции</w:t>
            </w:r>
          </w:p>
        </w:tc>
        <w:tc>
          <w:tcPr>
            <w:tcW w:w="799" w:type="pc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DBF109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2023-2030</w:t>
            </w:r>
          </w:p>
        </w:tc>
        <w:tc>
          <w:tcPr>
            <w:tcW w:w="11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BAD7B6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14:paraId="2684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6D25A6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38C04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99" w:type="pc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7F6AD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39268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</w:tbl>
    <w:p w14:paraId="3B69F472">
      <w:pPr>
        <w:pStyle w:val="2"/>
      </w:pPr>
      <w:bookmarkStart w:id="37" w:name="_Toc245303"/>
      <w:r>
        <w:t>Раздел 18. «Оценка надежности теплоснабжения»</w:t>
      </w:r>
      <w:bookmarkEnd w:id="37"/>
      <w:r>
        <w:t>.</w:t>
      </w:r>
    </w:p>
    <w:p w14:paraId="6AD389CF">
      <w:pPr>
        <w:suppressAutoHyphens/>
        <w:ind w:firstLine="567"/>
        <w:rPr>
          <w:szCs w:val="28"/>
        </w:rPr>
      </w:pPr>
      <w:r>
        <w:rPr>
          <w:szCs w:val="28"/>
        </w:rPr>
        <w:t xml:space="preserve">В данное время основным топливом является природный горючий газ. </w:t>
      </w:r>
    </w:p>
    <w:p w14:paraId="75F8AC19">
      <w:pPr>
        <w:suppressAutoHyphens/>
        <w:ind w:firstLine="567"/>
        <w:rPr>
          <w:szCs w:val="28"/>
        </w:rPr>
      </w:pPr>
      <w:r>
        <w:rPr>
          <w:szCs w:val="28"/>
        </w:rPr>
        <w:t>При проведении мероприятий по ремонту и замене тепловых сетей, а также мероприятий по реконструкции источников тепловой энергии, надежность системы теплоснабжения будет обеспечена на должном уровне.</w:t>
      </w:r>
    </w:p>
    <w:p w14:paraId="5FEF2DA5">
      <w:pPr>
        <w:suppressAutoHyphens/>
        <w:ind w:firstLine="567"/>
        <w:rPr>
          <w:szCs w:val="28"/>
        </w:rPr>
      </w:pPr>
      <w:r>
        <w:rPr>
          <w:szCs w:val="28"/>
        </w:rPr>
        <w:t>Безотказность – основной показатель соответствия предлагаемых в проекте технических решений нормативному требованию к безотказности. При расширении зоны действия теплоисточника и проектировании новых сетей необходимо учитывать нормативные (минимально допустимые) показатели надежности. Вероятность безотказной работы для различных элементов тепловой сети, а также для всей системы представлены в таблице 18.2.</w:t>
      </w:r>
    </w:p>
    <w:p w14:paraId="75B708C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18.2.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2605"/>
        <w:gridCol w:w="2605"/>
        <w:gridCol w:w="2606"/>
      </w:tblGrid>
      <w:tr w14:paraId="2AF3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Align w:val="center"/>
          </w:tcPr>
          <w:p w14:paraId="09D995F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Элемент сети</w:t>
            </w:r>
          </w:p>
        </w:tc>
        <w:tc>
          <w:tcPr>
            <w:tcW w:w="1250" w:type="pct"/>
            <w:vAlign w:val="center"/>
          </w:tcPr>
          <w:p w14:paraId="7B5AD10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Обозначение</w:t>
            </w:r>
          </w:p>
        </w:tc>
        <w:tc>
          <w:tcPr>
            <w:tcW w:w="1250" w:type="pct"/>
            <w:vAlign w:val="center"/>
          </w:tcPr>
          <w:p w14:paraId="6611475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Численное значение</w:t>
            </w:r>
          </w:p>
        </w:tc>
        <w:tc>
          <w:tcPr>
            <w:tcW w:w="1250" w:type="pct"/>
            <w:vAlign w:val="center"/>
          </w:tcPr>
          <w:p w14:paraId="3FEABA22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Примечание</w:t>
            </w:r>
          </w:p>
        </w:tc>
      </w:tr>
      <w:tr w14:paraId="1159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Align w:val="center"/>
          </w:tcPr>
          <w:p w14:paraId="5BD8355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Источник тепла</w:t>
            </w:r>
          </w:p>
        </w:tc>
        <w:tc>
          <w:tcPr>
            <w:tcW w:w="1250" w:type="pct"/>
            <w:vAlign w:val="center"/>
          </w:tcPr>
          <w:p w14:paraId="1082937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1250" w:type="pct"/>
            <w:vAlign w:val="center"/>
          </w:tcPr>
          <w:p w14:paraId="7C5FD55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250" w:type="pct"/>
            <w:vAlign w:val="center"/>
          </w:tcPr>
          <w:p w14:paraId="0387F1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отказа за 100 лет</w:t>
            </w:r>
          </w:p>
        </w:tc>
      </w:tr>
      <w:tr w14:paraId="5B867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Align w:val="center"/>
          </w:tcPr>
          <w:p w14:paraId="3C98CA8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Тепловые сети</w:t>
            </w:r>
          </w:p>
        </w:tc>
        <w:tc>
          <w:tcPr>
            <w:tcW w:w="1250" w:type="pct"/>
            <w:vAlign w:val="center"/>
          </w:tcPr>
          <w:p w14:paraId="4C9D865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тс</w:t>
            </w:r>
          </w:p>
        </w:tc>
        <w:tc>
          <w:tcPr>
            <w:tcW w:w="1250" w:type="pct"/>
            <w:vAlign w:val="center"/>
          </w:tcPr>
          <w:p w14:paraId="52386CE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0,42</w:t>
            </w:r>
          </w:p>
        </w:tc>
        <w:tc>
          <w:tcPr>
            <w:tcW w:w="1250" w:type="pct"/>
            <w:vAlign w:val="center"/>
          </w:tcPr>
          <w:p w14:paraId="59B6F94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 отказов за 100 лет</w:t>
            </w:r>
          </w:p>
        </w:tc>
      </w:tr>
      <w:tr w14:paraId="07BAC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Align w:val="center"/>
          </w:tcPr>
          <w:p w14:paraId="4FFBC4B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Абонент</w:t>
            </w:r>
          </w:p>
        </w:tc>
        <w:tc>
          <w:tcPr>
            <w:tcW w:w="1250" w:type="pct"/>
            <w:vAlign w:val="center"/>
          </w:tcPr>
          <w:p w14:paraId="08B70A8F">
            <w:pPr>
              <w:jc w:val="center"/>
              <w:rPr>
                <w:rFonts w:eastAsia="Times New Roman"/>
                <w:sz w:val="24"/>
                <w:szCs w:val="24"/>
                <w:vertAlign w:val="subscript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б</w:t>
            </w:r>
          </w:p>
        </w:tc>
        <w:tc>
          <w:tcPr>
            <w:tcW w:w="1250" w:type="pct"/>
            <w:vAlign w:val="center"/>
          </w:tcPr>
          <w:p w14:paraId="711CD48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1,0</w:t>
            </w:r>
          </w:p>
        </w:tc>
        <w:tc>
          <w:tcPr>
            <w:tcW w:w="1250" w:type="pct"/>
            <w:vAlign w:val="center"/>
          </w:tcPr>
          <w:p w14:paraId="7A1160C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отказ за 100 лет</w:t>
            </w:r>
          </w:p>
        </w:tc>
      </w:tr>
      <w:tr w14:paraId="1E7E3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vAlign w:val="center"/>
          </w:tcPr>
          <w:p w14:paraId="233E62C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Система централизованного теплоснабжения</w:t>
            </w:r>
          </w:p>
        </w:tc>
        <w:tc>
          <w:tcPr>
            <w:tcW w:w="1250" w:type="pct"/>
            <w:vAlign w:val="center"/>
          </w:tcPr>
          <w:p w14:paraId="2B603978">
            <w:pPr>
              <w:jc w:val="center"/>
              <w:rPr>
                <w:rFonts w:eastAsia="Times New Roman"/>
                <w:sz w:val="24"/>
                <w:szCs w:val="24"/>
                <w:vertAlign w:val="subscript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  <w:vertAlign w:val="subscript"/>
              </w:rPr>
              <w:t>гот</w:t>
            </w:r>
          </w:p>
        </w:tc>
        <w:tc>
          <w:tcPr>
            <w:tcW w:w="1250" w:type="pct"/>
            <w:vAlign w:val="center"/>
          </w:tcPr>
          <w:p w14:paraId="25898DE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0,99</w:t>
            </w:r>
          </w:p>
        </w:tc>
        <w:tc>
          <w:tcPr>
            <w:tcW w:w="1250" w:type="pct"/>
            <w:vAlign w:val="center"/>
          </w:tcPr>
          <w:p w14:paraId="2914D00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 отказов за 100 лет</w:t>
            </w:r>
          </w:p>
        </w:tc>
      </w:tr>
    </w:tbl>
    <w:p w14:paraId="6B371118">
      <w:pPr>
        <w:pStyle w:val="2"/>
      </w:pPr>
      <w:bookmarkStart w:id="38" w:name="_Toc245305"/>
      <w:r>
        <w:t>Раздел 19. «Обоснование инвестиций в строительство, реконструкцию и техническое перевооружение»</w:t>
      </w:r>
      <w:bookmarkEnd w:id="38"/>
      <w:r>
        <w:t>.</w:t>
      </w:r>
    </w:p>
    <w:p w14:paraId="3A97AF4B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Потребности в инвестициях на период действия схемы теплоснабжения представлены в таблице 20.1, (млн. руб).</w:t>
      </w:r>
    </w:p>
    <w:p w14:paraId="682CA7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19.1.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8633"/>
        <w:gridCol w:w="1271"/>
      </w:tblGrid>
      <w:tr w14:paraId="219D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8" w:type="pct"/>
            <w:vAlign w:val="center"/>
          </w:tcPr>
          <w:p w14:paraId="14242410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2" w:type="pct"/>
            <w:vAlign w:val="center"/>
          </w:tcPr>
          <w:p w14:paraId="498845DD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затрат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0BED172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2023-2025</w:t>
            </w:r>
          </w:p>
        </w:tc>
      </w:tr>
      <w:tr w14:paraId="30F3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248" w:type="pct"/>
            <w:shd w:val="clear" w:color="auto" w:fill="auto"/>
            <w:vAlign w:val="bottom"/>
          </w:tcPr>
          <w:p w14:paraId="2EFCB08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2" w:type="pct"/>
            <w:shd w:val="clear" w:color="auto" w:fill="auto"/>
            <w:noWrap/>
            <w:vAlign w:val="bottom"/>
          </w:tcPr>
          <w:p w14:paraId="2F0DFF25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Реконструкция источников тепловой энергии, в т.ч.: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4701F3D3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14:paraId="4C352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248" w:type="pct"/>
            <w:shd w:val="clear" w:color="auto" w:fill="auto"/>
            <w:vAlign w:val="bottom"/>
          </w:tcPr>
          <w:p w14:paraId="132B4942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42" w:type="pct"/>
            <w:shd w:val="clear" w:color="auto" w:fill="auto"/>
            <w:noWrap/>
            <w:vAlign w:val="center"/>
          </w:tcPr>
          <w:p w14:paraId="7EA61DA6">
            <w:pPr>
              <w:spacing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Установка частотных преобразователей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 w14:paraId="45CC5DB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</w:tr>
      <w:tr w14:paraId="77FB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248" w:type="pct"/>
            <w:shd w:val="clear" w:color="auto" w:fill="auto"/>
            <w:vAlign w:val="bottom"/>
          </w:tcPr>
          <w:p w14:paraId="2E0D2CDA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42" w:type="pct"/>
            <w:shd w:val="clear" w:color="auto" w:fill="auto"/>
            <w:noWrap/>
            <w:vAlign w:val="center"/>
          </w:tcPr>
          <w:p w14:paraId="4A7E7F16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существующей тепловой изоляции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 w14:paraId="71DE4B4D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14:paraId="62292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8" w:type="pct"/>
            <w:shd w:val="clear" w:color="auto" w:fill="auto"/>
            <w:vAlign w:val="bottom"/>
          </w:tcPr>
          <w:p w14:paraId="101FA395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2" w:type="pct"/>
            <w:shd w:val="clear" w:color="auto" w:fill="auto"/>
            <w:noWrap/>
            <w:vAlign w:val="bottom"/>
          </w:tcPr>
          <w:p w14:paraId="28D34666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4C408488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0,685</w:t>
            </w:r>
          </w:p>
        </w:tc>
      </w:tr>
    </w:tbl>
    <w:p w14:paraId="5FF821B7">
      <w:pPr>
        <w:pStyle w:val="2"/>
        <w:rPr>
          <w:rStyle w:val="9"/>
          <w:b/>
          <w:bCs w:val="0"/>
        </w:rPr>
      </w:pPr>
      <w:bookmarkStart w:id="39" w:name="_Toc536696829"/>
      <w:bookmarkStart w:id="40" w:name="_Toc245306"/>
      <w:r>
        <w:rPr>
          <w:rStyle w:val="9"/>
          <w:b/>
          <w:bCs w:val="0"/>
        </w:rPr>
        <w:t xml:space="preserve">Раздел 20. Индикаторы развития систем теплоснабжения </w:t>
      </w:r>
      <w:bookmarkEnd w:id="39"/>
      <w:bookmarkEnd w:id="40"/>
      <w:r>
        <w:rPr>
          <w:rStyle w:val="9"/>
          <w:b/>
          <w:bCs w:val="0"/>
        </w:rPr>
        <w:t>с. Чемодановки.</w:t>
      </w:r>
    </w:p>
    <w:p w14:paraId="2A3D9C0D">
      <w:pPr>
        <w:suppressAutoHyphens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разработке схемы теплоснабжения индикаторы развития систем теплоснабжения села не рассчитывались, поэтому настоящий раздел не содержит результаты оценки существующих и перспективных значений индикаторов развития систем теплоснабжения, рассчитываемых в соответствии с методическими указаниями по разработке схем теплоснабжения.</w:t>
      </w:r>
      <w:bookmarkStart w:id="41" w:name="_Toc536696830"/>
      <w:bookmarkStart w:id="42" w:name="_Toc245307"/>
    </w:p>
    <w:p w14:paraId="1CCBECC6">
      <w:pPr>
        <w:suppressAutoHyphens/>
        <w:ind w:firstLine="708"/>
        <w:rPr>
          <w:rStyle w:val="9"/>
          <w:rFonts w:eastAsia="Times New Roman"/>
          <w:b w:val="0"/>
          <w:bCs w:val="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</w:t>
      </w:r>
      <w:r>
        <w:rPr>
          <w:rStyle w:val="9"/>
        </w:rPr>
        <w:t>Раздел 21. Ценовые (тарифные) последствия</w:t>
      </w:r>
      <w:bookmarkEnd w:id="41"/>
      <w:bookmarkEnd w:id="42"/>
      <w:r>
        <w:rPr>
          <w:rStyle w:val="9"/>
        </w:rPr>
        <w:t>.</w:t>
      </w:r>
    </w:p>
    <w:p w14:paraId="664DA1BB">
      <w:pPr>
        <w:suppressAutoHyphens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Расчеты и оценка ценовых (тарифных) последствий реализации предлагаемых проектов схемы теплоснабжения для потребителя при разработке схемы теплоснабжения не производился.</w:t>
      </w:r>
    </w:p>
    <w:p w14:paraId="56472572">
      <w:pPr>
        <w:autoSpaceDE w:val="0"/>
        <w:autoSpaceDN w:val="0"/>
        <w:adjustRightInd w:val="0"/>
        <w:rPr>
          <w:rStyle w:val="9"/>
          <w:szCs w:val="28"/>
        </w:rPr>
      </w:pPr>
      <w:r>
        <w:rPr>
          <w:rStyle w:val="9"/>
        </w:rPr>
        <w:t xml:space="preserve">                             </w:t>
      </w:r>
      <w:r>
        <w:rPr>
          <w:rStyle w:val="9"/>
          <w:szCs w:val="28"/>
        </w:rPr>
        <w:t>Раздел 22. Перспективные топливные балансы.</w:t>
      </w:r>
    </w:p>
    <w:p w14:paraId="23274A75">
      <w:pPr>
        <w:autoSpaceDE w:val="0"/>
        <w:autoSpaceDN w:val="0"/>
        <w:adjustRightInd w:val="0"/>
        <w:rPr>
          <w:rStyle w:val="9"/>
          <w:sz w:val="24"/>
          <w:szCs w:val="24"/>
        </w:rPr>
      </w:pPr>
    </w:p>
    <w:p w14:paraId="034CA41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данное время основным топливом является природный горючий газ.</w:t>
      </w:r>
    </w:p>
    <w:p w14:paraId="2E40DDA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Таблица 18.1.</w:t>
      </w:r>
    </w:p>
    <w:tbl>
      <w:tblPr>
        <w:tblStyle w:val="6"/>
        <w:tblW w:w="0" w:type="auto"/>
        <w:tblInd w:w="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212"/>
        <w:gridCol w:w="2235"/>
        <w:gridCol w:w="2264"/>
        <w:gridCol w:w="2151"/>
      </w:tblGrid>
      <w:tr w14:paraId="77BBA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562" w:type="dxa"/>
          </w:tcPr>
          <w:p w14:paraId="098525D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12" w:type="dxa"/>
          </w:tcPr>
          <w:p w14:paraId="5408F76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707907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котельной</w:t>
            </w:r>
          </w:p>
        </w:tc>
        <w:tc>
          <w:tcPr>
            <w:tcW w:w="2235" w:type="dxa"/>
          </w:tcPr>
          <w:p w14:paraId="783DA1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Потребление топ- лива 2022, тыс.м3</w:t>
            </w:r>
          </w:p>
        </w:tc>
        <w:tc>
          <w:tcPr>
            <w:tcW w:w="2264" w:type="dxa"/>
          </w:tcPr>
          <w:p w14:paraId="6F68E8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Потребление топ- лива 2023, тыс.м3</w:t>
            </w:r>
          </w:p>
        </w:tc>
        <w:tc>
          <w:tcPr>
            <w:tcW w:w="2151" w:type="dxa"/>
          </w:tcPr>
          <w:p w14:paraId="26BB3A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Потребление топлива 2024, тыс.м3</w:t>
            </w:r>
          </w:p>
        </w:tc>
      </w:tr>
      <w:tr w14:paraId="58EB4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62" w:type="dxa"/>
          </w:tcPr>
          <w:p w14:paraId="75F8F0A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12" w:type="dxa"/>
          </w:tcPr>
          <w:p w14:paraId="6A364B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 автономная ко-</w:t>
            </w:r>
          </w:p>
          <w:p w14:paraId="3FFB7D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тельная 10 Мвт</w:t>
            </w:r>
          </w:p>
        </w:tc>
        <w:tc>
          <w:tcPr>
            <w:tcW w:w="2235" w:type="dxa"/>
          </w:tcPr>
          <w:p w14:paraId="2E02492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694,585</w:t>
            </w:r>
          </w:p>
        </w:tc>
        <w:tc>
          <w:tcPr>
            <w:tcW w:w="2264" w:type="dxa"/>
          </w:tcPr>
          <w:p w14:paraId="28BD9C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1 517,99</w:t>
            </w:r>
          </w:p>
        </w:tc>
        <w:tc>
          <w:tcPr>
            <w:tcW w:w="2151" w:type="dxa"/>
          </w:tcPr>
          <w:p w14:paraId="0D282A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1 624,796</w:t>
            </w:r>
          </w:p>
        </w:tc>
      </w:tr>
    </w:tbl>
    <w:p w14:paraId="47B50674">
      <w:pPr>
        <w:autoSpaceDE w:val="0"/>
        <w:autoSpaceDN w:val="0"/>
        <w:adjustRightInd w:val="0"/>
        <w:rPr>
          <w:b/>
          <w:bCs/>
        </w:rPr>
      </w:pPr>
    </w:p>
    <w:p w14:paraId="066FDE53">
      <w:pPr>
        <w:autoSpaceDE w:val="0"/>
        <w:autoSpaceDN w:val="0"/>
        <w:adjustRightInd w:val="0"/>
        <w:rPr>
          <w:rStyle w:val="9"/>
          <w:bCs w:val="0"/>
          <w:szCs w:val="28"/>
        </w:rPr>
      </w:pPr>
      <w:r>
        <w:rPr>
          <w:rStyle w:val="9"/>
          <w:bCs w:val="0"/>
          <w:sz w:val="24"/>
          <w:szCs w:val="24"/>
        </w:rPr>
        <w:t xml:space="preserve">                              </w:t>
      </w:r>
      <w:r>
        <w:rPr>
          <w:rStyle w:val="9"/>
          <w:bCs w:val="0"/>
          <w:szCs w:val="28"/>
        </w:rPr>
        <w:t>Раздел 23. Реестр единых теплоснабжающих организаций.</w:t>
      </w:r>
    </w:p>
    <w:p w14:paraId="0BC666C4">
      <w:pPr>
        <w:autoSpaceDE w:val="0"/>
        <w:autoSpaceDN w:val="0"/>
        <w:adjustRightInd w:val="0"/>
        <w:rPr>
          <w:rStyle w:val="9"/>
          <w:bCs w:val="0"/>
          <w:sz w:val="24"/>
          <w:szCs w:val="24"/>
        </w:rPr>
      </w:pPr>
    </w:p>
    <w:p w14:paraId="08FD147C">
      <w:pPr>
        <w:widowControl w:val="0"/>
        <w:suppressAutoHyphens/>
        <w:autoSpaceDE w:val="0"/>
        <w:autoSpaceDN w:val="0"/>
        <w:spacing w:before="238"/>
        <w:ind w:left="140" w:right="147" w:firstLine="566"/>
        <w:rPr>
          <w:rFonts w:eastAsia="Times New Roman"/>
          <w:szCs w:val="28"/>
        </w:rPr>
      </w:pPr>
      <w:r>
        <w:rPr>
          <w:rFonts w:eastAsia="Times New Roman"/>
          <w:szCs w:val="28"/>
        </w:rPr>
        <w:t>На основании решения комитета местного самоуправления Чемодановского сельсовета от 16 июля 2019г. № 536/1-146/6, в качестве единой теплоснабжающей организации на территории села Чемодановки является ООО «ТЕПЛОВДОМ»</w:t>
      </w:r>
    </w:p>
    <w:p w14:paraId="70079F07">
      <w:pPr>
        <w:widowControl w:val="0"/>
        <w:suppressAutoHyphens/>
        <w:autoSpaceDE w:val="0"/>
        <w:autoSpaceDN w:val="0"/>
        <w:spacing w:before="1" w:line="240" w:lineRule="auto"/>
        <w:ind w:left="707"/>
        <w:rPr>
          <w:rFonts w:eastAsia="Times New Roman"/>
          <w:szCs w:val="28"/>
        </w:rPr>
      </w:pPr>
      <w:r>
        <w:rPr>
          <w:rFonts w:eastAsia="Times New Roman"/>
          <w:szCs w:val="28"/>
        </w:rPr>
        <w:t>Критерии</w:t>
      </w:r>
      <w:r>
        <w:rPr>
          <w:rFonts w:eastAsia="Times New Roman"/>
          <w:spacing w:val="-7"/>
          <w:szCs w:val="28"/>
        </w:rPr>
        <w:t xml:space="preserve"> </w:t>
      </w:r>
      <w:r>
        <w:rPr>
          <w:rFonts w:eastAsia="Times New Roman"/>
          <w:szCs w:val="28"/>
        </w:rPr>
        <w:t>определения</w:t>
      </w:r>
      <w:r>
        <w:rPr>
          <w:rFonts w:eastAsia="Times New Roman"/>
          <w:spacing w:val="-7"/>
          <w:szCs w:val="28"/>
        </w:rPr>
        <w:t xml:space="preserve"> </w:t>
      </w:r>
      <w:r>
        <w:rPr>
          <w:rFonts w:eastAsia="Times New Roman"/>
          <w:szCs w:val="28"/>
        </w:rPr>
        <w:t>единой</w:t>
      </w:r>
      <w:r>
        <w:rPr>
          <w:rFonts w:eastAsia="Times New Roman"/>
          <w:spacing w:val="-5"/>
          <w:szCs w:val="28"/>
        </w:rPr>
        <w:t xml:space="preserve"> </w:t>
      </w:r>
      <w:r>
        <w:rPr>
          <w:rFonts w:eastAsia="Times New Roman"/>
          <w:szCs w:val="28"/>
        </w:rPr>
        <w:t>теплоснабжающей</w:t>
      </w:r>
      <w:r>
        <w:rPr>
          <w:rFonts w:eastAsia="Times New Roman"/>
          <w:spacing w:val="-4"/>
          <w:szCs w:val="28"/>
        </w:rPr>
        <w:t xml:space="preserve"> </w:t>
      </w:r>
      <w:r>
        <w:rPr>
          <w:rFonts w:eastAsia="Times New Roman"/>
          <w:spacing w:val="-2"/>
          <w:szCs w:val="28"/>
        </w:rPr>
        <w:t>организации:</w:t>
      </w:r>
    </w:p>
    <w:p w14:paraId="6F6CC268">
      <w:pPr>
        <w:widowControl w:val="0"/>
        <w:suppressAutoHyphens/>
        <w:autoSpaceDE w:val="0"/>
        <w:autoSpaceDN w:val="0"/>
        <w:spacing w:before="41"/>
        <w:ind w:left="140" w:right="135" w:firstLine="566"/>
        <w:rPr>
          <w:rFonts w:eastAsia="Times New Roman"/>
          <w:szCs w:val="28"/>
        </w:rPr>
      </w:pPr>
      <w:r>
        <w:rPr>
          <w:rFonts w:eastAsia="Times New Roman"/>
          <w:szCs w:val="28"/>
        </w:rPr>
        <w:t>1)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14:paraId="3A6AFB27">
      <w:pPr>
        <w:widowControl w:val="0"/>
        <w:suppressAutoHyphens/>
        <w:autoSpaceDE w:val="0"/>
        <w:autoSpaceDN w:val="0"/>
        <w:ind w:left="140" w:right="150" w:firstLine="566"/>
        <w:rPr>
          <w:rFonts w:eastAsia="Times New Roman"/>
          <w:szCs w:val="28"/>
        </w:rPr>
      </w:pPr>
      <w:r>
        <w:rPr>
          <w:rFonts w:eastAsia="Times New Roman"/>
          <w:szCs w:val="28"/>
        </w:rPr>
        <w:t>ООО «ТЕПЛОВДОМ» отвечает необходимым требованиям организаций претендующей на статус единой теплоснабжающей организации.</w:t>
      </w:r>
    </w:p>
    <w:p w14:paraId="0D6E3F83">
      <w:pPr>
        <w:autoSpaceDE w:val="0"/>
        <w:autoSpaceDN w:val="0"/>
        <w:adjustRightInd w:val="0"/>
        <w:rPr>
          <w:rStyle w:val="9"/>
          <w:bCs w:val="0"/>
          <w:sz w:val="24"/>
          <w:szCs w:val="24"/>
        </w:rPr>
      </w:pPr>
    </w:p>
    <w:sectPr>
      <w:footerReference r:id="rId5" w:type="first"/>
      <w:pgSz w:w="11906" w:h="16838"/>
      <w:pgMar w:top="1134" w:right="567" w:bottom="1134" w:left="1134" w:header="283" w:footer="283" w:gutter="0"/>
      <w:cols w:space="708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584FB">
    <w:pPr>
      <w:pStyle w:val="1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13</w:t>
    </w:r>
    <w:r>
      <w:fldChar w:fldCharType="end"/>
    </w:r>
  </w:p>
  <w:p w14:paraId="5F5B5032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0F1D8C"/>
    <w:multiLevelType w:val="multilevel"/>
    <w:tmpl w:val="450F1D8C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F42240"/>
    <w:multiLevelType w:val="multilevel"/>
    <w:tmpl w:val="6FF4224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DA"/>
    <w:rsid w:val="000013EA"/>
    <w:rsid w:val="000077FB"/>
    <w:rsid w:val="00011771"/>
    <w:rsid w:val="00012456"/>
    <w:rsid w:val="0001683E"/>
    <w:rsid w:val="000219C7"/>
    <w:rsid w:val="00022A48"/>
    <w:rsid w:val="00024154"/>
    <w:rsid w:val="000259A7"/>
    <w:rsid w:val="00030AD2"/>
    <w:rsid w:val="00041FD1"/>
    <w:rsid w:val="00072FFA"/>
    <w:rsid w:val="0007374E"/>
    <w:rsid w:val="00075EFF"/>
    <w:rsid w:val="000804CF"/>
    <w:rsid w:val="00086AC7"/>
    <w:rsid w:val="00093D70"/>
    <w:rsid w:val="000A4912"/>
    <w:rsid w:val="000A7348"/>
    <w:rsid w:val="000B0328"/>
    <w:rsid w:val="000B30F0"/>
    <w:rsid w:val="000B3C8B"/>
    <w:rsid w:val="000C20E6"/>
    <w:rsid w:val="000C77C7"/>
    <w:rsid w:val="000D604F"/>
    <w:rsid w:val="000D744A"/>
    <w:rsid w:val="000E4BF7"/>
    <w:rsid w:val="000E503A"/>
    <w:rsid w:val="000F5E08"/>
    <w:rsid w:val="000F672B"/>
    <w:rsid w:val="001058AC"/>
    <w:rsid w:val="00105FDD"/>
    <w:rsid w:val="001157FD"/>
    <w:rsid w:val="0011643A"/>
    <w:rsid w:val="001247EE"/>
    <w:rsid w:val="0013629F"/>
    <w:rsid w:val="00137B75"/>
    <w:rsid w:val="00150F3B"/>
    <w:rsid w:val="001556D5"/>
    <w:rsid w:val="00156533"/>
    <w:rsid w:val="00157D9C"/>
    <w:rsid w:val="00161263"/>
    <w:rsid w:val="0016369C"/>
    <w:rsid w:val="00172B70"/>
    <w:rsid w:val="001753BD"/>
    <w:rsid w:val="0017746B"/>
    <w:rsid w:val="00182CFA"/>
    <w:rsid w:val="00190E1E"/>
    <w:rsid w:val="00192412"/>
    <w:rsid w:val="00193998"/>
    <w:rsid w:val="001968F0"/>
    <w:rsid w:val="00196F50"/>
    <w:rsid w:val="001A0E3B"/>
    <w:rsid w:val="001A1D11"/>
    <w:rsid w:val="001A1D1E"/>
    <w:rsid w:val="001A52EC"/>
    <w:rsid w:val="001A74FB"/>
    <w:rsid w:val="001B2115"/>
    <w:rsid w:val="001B2437"/>
    <w:rsid w:val="001C02BC"/>
    <w:rsid w:val="001C1F7F"/>
    <w:rsid w:val="001C20DE"/>
    <w:rsid w:val="001C399A"/>
    <w:rsid w:val="001D07AB"/>
    <w:rsid w:val="001D0D0B"/>
    <w:rsid w:val="001D46F3"/>
    <w:rsid w:val="001E05D0"/>
    <w:rsid w:val="001E106E"/>
    <w:rsid w:val="001E2875"/>
    <w:rsid w:val="001E4CCF"/>
    <w:rsid w:val="001F2B4B"/>
    <w:rsid w:val="001F333B"/>
    <w:rsid w:val="001F5884"/>
    <w:rsid w:val="00200A5C"/>
    <w:rsid w:val="00206427"/>
    <w:rsid w:val="002068EF"/>
    <w:rsid w:val="00207FC5"/>
    <w:rsid w:val="002100A1"/>
    <w:rsid w:val="0021437E"/>
    <w:rsid w:val="00217CBD"/>
    <w:rsid w:val="00223EA4"/>
    <w:rsid w:val="00224871"/>
    <w:rsid w:val="002248D6"/>
    <w:rsid w:val="00226B40"/>
    <w:rsid w:val="0023151B"/>
    <w:rsid w:val="0024494D"/>
    <w:rsid w:val="002474BC"/>
    <w:rsid w:val="00250F03"/>
    <w:rsid w:val="002553DE"/>
    <w:rsid w:val="002573D0"/>
    <w:rsid w:val="0026251D"/>
    <w:rsid w:val="0028209B"/>
    <w:rsid w:val="002878AB"/>
    <w:rsid w:val="00291476"/>
    <w:rsid w:val="0029355B"/>
    <w:rsid w:val="00295578"/>
    <w:rsid w:val="002A19AA"/>
    <w:rsid w:val="002C4794"/>
    <w:rsid w:val="002C4E2B"/>
    <w:rsid w:val="002C6862"/>
    <w:rsid w:val="002D0ACB"/>
    <w:rsid w:val="002D410D"/>
    <w:rsid w:val="002E0456"/>
    <w:rsid w:val="002E10AF"/>
    <w:rsid w:val="002E27AA"/>
    <w:rsid w:val="002E2BD4"/>
    <w:rsid w:val="002F67BE"/>
    <w:rsid w:val="00303696"/>
    <w:rsid w:val="003048E9"/>
    <w:rsid w:val="0032233A"/>
    <w:rsid w:val="00326673"/>
    <w:rsid w:val="00327F29"/>
    <w:rsid w:val="00333FA5"/>
    <w:rsid w:val="003426DE"/>
    <w:rsid w:val="0035375F"/>
    <w:rsid w:val="00364122"/>
    <w:rsid w:val="003659D2"/>
    <w:rsid w:val="0036610D"/>
    <w:rsid w:val="00366B08"/>
    <w:rsid w:val="003779E1"/>
    <w:rsid w:val="003830F7"/>
    <w:rsid w:val="00384F75"/>
    <w:rsid w:val="003944DE"/>
    <w:rsid w:val="00397B64"/>
    <w:rsid w:val="003A64BF"/>
    <w:rsid w:val="003A66B7"/>
    <w:rsid w:val="003B0C43"/>
    <w:rsid w:val="003B293C"/>
    <w:rsid w:val="003B5B76"/>
    <w:rsid w:val="003C0245"/>
    <w:rsid w:val="003C6CFE"/>
    <w:rsid w:val="003D32F7"/>
    <w:rsid w:val="003D5A11"/>
    <w:rsid w:val="003E279F"/>
    <w:rsid w:val="003F023E"/>
    <w:rsid w:val="003F0C2F"/>
    <w:rsid w:val="003F1744"/>
    <w:rsid w:val="003F2EDA"/>
    <w:rsid w:val="00405229"/>
    <w:rsid w:val="00406211"/>
    <w:rsid w:val="004077B5"/>
    <w:rsid w:val="00410DB4"/>
    <w:rsid w:val="0042193C"/>
    <w:rsid w:val="00425930"/>
    <w:rsid w:val="00427106"/>
    <w:rsid w:val="0043608E"/>
    <w:rsid w:val="004367ED"/>
    <w:rsid w:val="00437244"/>
    <w:rsid w:val="004420CD"/>
    <w:rsid w:val="00443C26"/>
    <w:rsid w:val="00445592"/>
    <w:rsid w:val="00445B54"/>
    <w:rsid w:val="004537B8"/>
    <w:rsid w:val="004553C9"/>
    <w:rsid w:val="00462742"/>
    <w:rsid w:val="0046441B"/>
    <w:rsid w:val="00467019"/>
    <w:rsid w:val="00472BDA"/>
    <w:rsid w:val="00476F59"/>
    <w:rsid w:val="0048047F"/>
    <w:rsid w:val="0048474D"/>
    <w:rsid w:val="00485D48"/>
    <w:rsid w:val="0049211E"/>
    <w:rsid w:val="00494249"/>
    <w:rsid w:val="00495A89"/>
    <w:rsid w:val="004A35BC"/>
    <w:rsid w:val="004A4D11"/>
    <w:rsid w:val="004A66F9"/>
    <w:rsid w:val="004B6144"/>
    <w:rsid w:val="004D0D4A"/>
    <w:rsid w:val="004D1344"/>
    <w:rsid w:val="004D169F"/>
    <w:rsid w:val="004D516C"/>
    <w:rsid w:val="004D5241"/>
    <w:rsid w:val="004D5301"/>
    <w:rsid w:val="004D656A"/>
    <w:rsid w:val="004E0098"/>
    <w:rsid w:val="004E0F54"/>
    <w:rsid w:val="004E40CB"/>
    <w:rsid w:val="004E4AD6"/>
    <w:rsid w:val="004E6BEC"/>
    <w:rsid w:val="004F01BA"/>
    <w:rsid w:val="004F0EB7"/>
    <w:rsid w:val="004F1978"/>
    <w:rsid w:val="005059AF"/>
    <w:rsid w:val="0050604E"/>
    <w:rsid w:val="00513324"/>
    <w:rsid w:val="005147D1"/>
    <w:rsid w:val="005153C0"/>
    <w:rsid w:val="00527F1D"/>
    <w:rsid w:val="005314DB"/>
    <w:rsid w:val="00532167"/>
    <w:rsid w:val="005353F0"/>
    <w:rsid w:val="00542D7D"/>
    <w:rsid w:val="00545325"/>
    <w:rsid w:val="005507E5"/>
    <w:rsid w:val="00552C23"/>
    <w:rsid w:val="00555746"/>
    <w:rsid w:val="00555CFB"/>
    <w:rsid w:val="00560DD1"/>
    <w:rsid w:val="00561091"/>
    <w:rsid w:val="00567136"/>
    <w:rsid w:val="005806A1"/>
    <w:rsid w:val="00585608"/>
    <w:rsid w:val="00585DCD"/>
    <w:rsid w:val="0059469F"/>
    <w:rsid w:val="00596C84"/>
    <w:rsid w:val="005A2B78"/>
    <w:rsid w:val="005A2F02"/>
    <w:rsid w:val="005A3694"/>
    <w:rsid w:val="005A3C9E"/>
    <w:rsid w:val="005B3968"/>
    <w:rsid w:val="005B56CF"/>
    <w:rsid w:val="005B5CF6"/>
    <w:rsid w:val="005B6AE7"/>
    <w:rsid w:val="005B72C3"/>
    <w:rsid w:val="005B78A3"/>
    <w:rsid w:val="005C0FA4"/>
    <w:rsid w:val="005C38A3"/>
    <w:rsid w:val="005C3D8E"/>
    <w:rsid w:val="005C469C"/>
    <w:rsid w:val="005D5C00"/>
    <w:rsid w:val="005E01B3"/>
    <w:rsid w:val="005E09AE"/>
    <w:rsid w:val="005E0C8B"/>
    <w:rsid w:val="005E0E0E"/>
    <w:rsid w:val="005E0F13"/>
    <w:rsid w:val="005E1240"/>
    <w:rsid w:val="005E2C22"/>
    <w:rsid w:val="005E5571"/>
    <w:rsid w:val="005E5A1B"/>
    <w:rsid w:val="005E7D7D"/>
    <w:rsid w:val="005F21EC"/>
    <w:rsid w:val="005F7C55"/>
    <w:rsid w:val="00606218"/>
    <w:rsid w:val="00613A41"/>
    <w:rsid w:val="00622472"/>
    <w:rsid w:val="00622B28"/>
    <w:rsid w:val="00622D63"/>
    <w:rsid w:val="006269B5"/>
    <w:rsid w:val="00627A48"/>
    <w:rsid w:val="006301BF"/>
    <w:rsid w:val="006313FE"/>
    <w:rsid w:val="00634299"/>
    <w:rsid w:val="00634D07"/>
    <w:rsid w:val="00637BF3"/>
    <w:rsid w:val="00645C42"/>
    <w:rsid w:val="00646FFA"/>
    <w:rsid w:val="00651227"/>
    <w:rsid w:val="00651C69"/>
    <w:rsid w:val="00656067"/>
    <w:rsid w:val="00657B4E"/>
    <w:rsid w:val="00666100"/>
    <w:rsid w:val="00670314"/>
    <w:rsid w:val="00670627"/>
    <w:rsid w:val="00672871"/>
    <w:rsid w:val="00672C94"/>
    <w:rsid w:val="006741A8"/>
    <w:rsid w:val="00675C6E"/>
    <w:rsid w:val="00677324"/>
    <w:rsid w:val="0068094E"/>
    <w:rsid w:val="00682E78"/>
    <w:rsid w:val="00690C9C"/>
    <w:rsid w:val="006A4E0B"/>
    <w:rsid w:val="006A53E7"/>
    <w:rsid w:val="006A58CA"/>
    <w:rsid w:val="006B12E5"/>
    <w:rsid w:val="006B3812"/>
    <w:rsid w:val="006C2A11"/>
    <w:rsid w:val="006C2BE6"/>
    <w:rsid w:val="006C45FB"/>
    <w:rsid w:val="006C70AA"/>
    <w:rsid w:val="006D650B"/>
    <w:rsid w:val="006E6672"/>
    <w:rsid w:val="006F18D0"/>
    <w:rsid w:val="006F207F"/>
    <w:rsid w:val="006F426C"/>
    <w:rsid w:val="006F7AA1"/>
    <w:rsid w:val="006F7D76"/>
    <w:rsid w:val="00704167"/>
    <w:rsid w:val="007126AB"/>
    <w:rsid w:val="00712A96"/>
    <w:rsid w:val="00721871"/>
    <w:rsid w:val="007328B1"/>
    <w:rsid w:val="00747CBA"/>
    <w:rsid w:val="007523D0"/>
    <w:rsid w:val="0075610E"/>
    <w:rsid w:val="00757AF6"/>
    <w:rsid w:val="007652D1"/>
    <w:rsid w:val="007672AA"/>
    <w:rsid w:val="007700FE"/>
    <w:rsid w:val="007747E8"/>
    <w:rsid w:val="007769F5"/>
    <w:rsid w:val="0078045B"/>
    <w:rsid w:val="0078523F"/>
    <w:rsid w:val="007901D4"/>
    <w:rsid w:val="00791DA5"/>
    <w:rsid w:val="00794051"/>
    <w:rsid w:val="00794D74"/>
    <w:rsid w:val="007A5107"/>
    <w:rsid w:val="007B0FE8"/>
    <w:rsid w:val="007B3650"/>
    <w:rsid w:val="007B6D2A"/>
    <w:rsid w:val="007D22DF"/>
    <w:rsid w:val="007D5917"/>
    <w:rsid w:val="007E2709"/>
    <w:rsid w:val="007E7184"/>
    <w:rsid w:val="007E7C91"/>
    <w:rsid w:val="007F53EA"/>
    <w:rsid w:val="008052F9"/>
    <w:rsid w:val="0080638E"/>
    <w:rsid w:val="008078CC"/>
    <w:rsid w:val="00812B01"/>
    <w:rsid w:val="00814C9B"/>
    <w:rsid w:val="00815632"/>
    <w:rsid w:val="0083369A"/>
    <w:rsid w:val="00834597"/>
    <w:rsid w:val="00834991"/>
    <w:rsid w:val="00844924"/>
    <w:rsid w:val="008536BF"/>
    <w:rsid w:val="00853CBD"/>
    <w:rsid w:val="00854163"/>
    <w:rsid w:val="00854F33"/>
    <w:rsid w:val="008564FF"/>
    <w:rsid w:val="00857D8E"/>
    <w:rsid w:val="0086196E"/>
    <w:rsid w:val="00865456"/>
    <w:rsid w:val="00867337"/>
    <w:rsid w:val="0087380D"/>
    <w:rsid w:val="0087765B"/>
    <w:rsid w:val="00877BE3"/>
    <w:rsid w:val="00881D2D"/>
    <w:rsid w:val="00883A15"/>
    <w:rsid w:val="00886D60"/>
    <w:rsid w:val="008908D6"/>
    <w:rsid w:val="00892F40"/>
    <w:rsid w:val="008956E6"/>
    <w:rsid w:val="00896441"/>
    <w:rsid w:val="00897D22"/>
    <w:rsid w:val="008A0A44"/>
    <w:rsid w:val="008A4501"/>
    <w:rsid w:val="008C27DA"/>
    <w:rsid w:val="008C280F"/>
    <w:rsid w:val="008D5528"/>
    <w:rsid w:val="008D6DAE"/>
    <w:rsid w:val="008F175D"/>
    <w:rsid w:val="008F303A"/>
    <w:rsid w:val="008F4972"/>
    <w:rsid w:val="008F55C5"/>
    <w:rsid w:val="009005FE"/>
    <w:rsid w:val="0090161C"/>
    <w:rsid w:val="00906168"/>
    <w:rsid w:val="0091294F"/>
    <w:rsid w:val="0091721D"/>
    <w:rsid w:val="0092156E"/>
    <w:rsid w:val="00922C0B"/>
    <w:rsid w:val="00934178"/>
    <w:rsid w:val="009350C6"/>
    <w:rsid w:val="009379B4"/>
    <w:rsid w:val="009422F1"/>
    <w:rsid w:val="00942A51"/>
    <w:rsid w:val="00945172"/>
    <w:rsid w:val="00945640"/>
    <w:rsid w:val="00950853"/>
    <w:rsid w:val="00956376"/>
    <w:rsid w:val="00956891"/>
    <w:rsid w:val="00957E4F"/>
    <w:rsid w:val="009612F5"/>
    <w:rsid w:val="0097005F"/>
    <w:rsid w:val="00973BC0"/>
    <w:rsid w:val="0098072A"/>
    <w:rsid w:val="00982069"/>
    <w:rsid w:val="00984F23"/>
    <w:rsid w:val="00984F3B"/>
    <w:rsid w:val="00993DE4"/>
    <w:rsid w:val="00994463"/>
    <w:rsid w:val="00995282"/>
    <w:rsid w:val="009A3872"/>
    <w:rsid w:val="009A6AE0"/>
    <w:rsid w:val="009B5B46"/>
    <w:rsid w:val="009B5D27"/>
    <w:rsid w:val="009C1E25"/>
    <w:rsid w:val="009C3C16"/>
    <w:rsid w:val="009C5B66"/>
    <w:rsid w:val="009D2CF1"/>
    <w:rsid w:val="009E30CF"/>
    <w:rsid w:val="009E4759"/>
    <w:rsid w:val="009E6F95"/>
    <w:rsid w:val="009F0257"/>
    <w:rsid w:val="009F08D6"/>
    <w:rsid w:val="009F1A54"/>
    <w:rsid w:val="009F3032"/>
    <w:rsid w:val="009F33B9"/>
    <w:rsid w:val="009F4E96"/>
    <w:rsid w:val="009F641B"/>
    <w:rsid w:val="00A01691"/>
    <w:rsid w:val="00A0672F"/>
    <w:rsid w:val="00A06A5C"/>
    <w:rsid w:val="00A07E19"/>
    <w:rsid w:val="00A15336"/>
    <w:rsid w:val="00A17882"/>
    <w:rsid w:val="00A33950"/>
    <w:rsid w:val="00A37F2F"/>
    <w:rsid w:val="00A50425"/>
    <w:rsid w:val="00A6408D"/>
    <w:rsid w:val="00A651E0"/>
    <w:rsid w:val="00A663A1"/>
    <w:rsid w:val="00A724AB"/>
    <w:rsid w:val="00A760F5"/>
    <w:rsid w:val="00A7748F"/>
    <w:rsid w:val="00A7753B"/>
    <w:rsid w:val="00A839C9"/>
    <w:rsid w:val="00A83A16"/>
    <w:rsid w:val="00A86839"/>
    <w:rsid w:val="00A87CDE"/>
    <w:rsid w:val="00A93173"/>
    <w:rsid w:val="00A95A1D"/>
    <w:rsid w:val="00AA3206"/>
    <w:rsid w:val="00AB02BB"/>
    <w:rsid w:val="00AB3EB0"/>
    <w:rsid w:val="00AC6F9C"/>
    <w:rsid w:val="00AC7397"/>
    <w:rsid w:val="00AD45FD"/>
    <w:rsid w:val="00AD4BC6"/>
    <w:rsid w:val="00AD5A0F"/>
    <w:rsid w:val="00AE7308"/>
    <w:rsid w:val="00AE7489"/>
    <w:rsid w:val="00AF049B"/>
    <w:rsid w:val="00AF1069"/>
    <w:rsid w:val="00AF53CC"/>
    <w:rsid w:val="00B00E44"/>
    <w:rsid w:val="00B0218E"/>
    <w:rsid w:val="00B07A65"/>
    <w:rsid w:val="00B1403B"/>
    <w:rsid w:val="00B163DF"/>
    <w:rsid w:val="00B17C05"/>
    <w:rsid w:val="00B25700"/>
    <w:rsid w:val="00B412E8"/>
    <w:rsid w:val="00B41961"/>
    <w:rsid w:val="00B427FC"/>
    <w:rsid w:val="00B44FD4"/>
    <w:rsid w:val="00B45BAE"/>
    <w:rsid w:val="00B53294"/>
    <w:rsid w:val="00B54F6A"/>
    <w:rsid w:val="00B61D72"/>
    <w:rsid w:val="00B620AA"/>
    <w:rsid w:val="00B67382"/>
    <w:rsid w:val="00B70422"/>
    <w:rsid w:val="00B75703"/>
    <w:rsid w:val="00B7597E"/>
    <w:rsid w:val="00B80534"/>
    <w:rsid w:val="00B80B3B"/>
    <w:rsid w:val="00B85185"/>
    <w:rsid w:val="00B916C4"/>
    <w:rsid w:val="00B9175F"/>
    <w:rsid w:val="00B92BBC"/>
    <w:rsid w:val="00B9310B"/>
    <w:rsid w:val="00B94CCA"/>
    <w:rsid w:val="00B97522"/>
    <w:rsid w:val="00BB0D1C"/>
    <w:rsid w:val="00BB4B3C"/>
    <w:rsid w:val="00BB5A8E"/>
    <w:rsid w:val="00BB77F9"/>
    <w:rsid w:val="00BC0B68"/>
    <w:rsid w:val="00BC6E9A"/>
    <w:rsid w:val="00BD0924"/>
    <w:rsid w:val="00BD0A15"/>
    <w:rsid w:val="00BD291D"/>
    <w:rsid w:val="00BE0AFC"/>
    <w:rsid w:val="00BE211F"/>
    <w:rsid w:val="00BE4C01"/>
    <w:rsid w:val="00BF1C9F"/>
    <w:rsid w:val="00BF5375"/>
    <w:rsid w:val="00BF6922"/>
    <w:rsid w:val="00C116B6"/>
    <w:rsid w:val="00C144B8"/>
    <w:rsid w:val="00C153C9"/>
    <w:rsid w:val="00C15518"/>
    <w:rsid w:val="00C215F8"/>
    <w:rsid w:val="00C22CCA"/>
    <w:rsid w:val="00C246CA"/>
    <w:rsid w:val="00C2674C"/>
    <w:rsid w:val="00C34CEC"/>
    <w:rsid w:val="00C378F6"/>
    <w:rsid w:val="00C41F61"/>
    <w:rsid w:val="00C54A1D"/>
    <w:rsid w:val="00C725B6"/>
    <w:rsid w:val="00C75049"/>
    <w:rsid w:val="00C7679B"/>
    <w:rsid w:val="00C76D05"/>
    <w:rsid w:val="00C82130"/>
    <w:rsid w:val="00C8469B"/>
    <w:rsid w:val="00C86343"/>
    <w:rsid w:val="00C866C3"/>
    <w:rsid w:val="00C962F1"/>
    <w:rsid w:val="00CA449F"/>
    <w:rsid w:val="00CA57E0"/>
    <w:rsid w:val="00CA6845"/>
    <w:rsid w:val="00CA768A"/>
    <w:rsid w:val="00CB2E04"/>
    <w:rsid w:val="00CB3550"/>
    <w:rsid w:val="00CB3717"/>
    <w:rsid w:val="00CC079D"/>
    <w:rsid w:val="00CC3856"/>
    <w:rsid w:val="00CC510A"/>
    <w:rsid w:val="00CC6916"/>
    <w:rsid w:val="00CD02BE"/>
    <w:rsid w:val="00CD47AE"/>
    <w:rsid w:val="00CD795E"/>
    <w:rsid w:val="00CE2D2C"/>
    <w:rsid w:val="00CE7757"/>
    <w:rsid w:val="00CF56AE"/>
    <w:rsid w:val="00D02A9A"/>
    <w:rsid w:val="00D04FFF"/>
    <w:rsid w:val="00D06571"/>
    <w:rsid w:val="00D11001"/>
    <w:rsid w:val="00D115B6"/>
    <w:rsid w:val="00D13EC4"/>
    <w:rsid w:val="00D16F9A"/>
    <w:rsid w:val="00D23373"/>
    <w:rsid w:val="00D242AF"/>
    <w:rsid w:val="00D24384"/>
    <w:rsid w:val="00D34206"/>
    <w:rsid w:val="00D41E03"/>
    <w:rsid w:val="00D43F90"/>
    <w:rsid w:val="00D463D4"/>
    <w:rsid w:val="00D475F0"/>
    <w:rsid w:val="00D53781"/>
    <w:rsid w:val="00D550EE"/>
    <w:rsid w:val="00D640DA"/>
    <w:rsid w:val="00D6489E"/>
    <w:rsid w:val="00D70CAF"/>
    <w:rsid w:val="00D71F27"/>
    <w:rsid w:val="00D80503"/>
    <w:rsid w:val="00D80750"/>
    <w:rsid w:val="00D84BC0"/>
    <w:rsid w:val="00D84D7F"/>
    <w:rsid w:val="00D857C2"/>
    <w:rsid w:val="00D85FF8"/>
    <w:rsid w:val="00D958CD"/>
    <w:rsid w:val="00D97765"/>
    <w:rsid w:val="00D979EE"/>
    <w:rsid w:val="00DA3714"/>
    <w:rsid w:val="00DA5502"/>
    <w:rsid w:val="00DA613C"/>
    <w:rsid w:val="00DA6549"/>
    <w:rsid w:val="00DB2D94"/>
    <w:rsid w:val="00DB2E95"/>
    <w:rsid w:val="00DD223A"/>
    <w:rsid w:val="00DD6832"/>
    <w:rsid w:val="00DE1777"/>
    <w:rsid w:val="00DE258A"/>
    <w:rsid w:val="00DE382D"/>
    <w:rsid w:val="00DE622D"/>
    <w:rsid w:val="00DE672B"/>
    <w:rsid w:val="00DE6B69"/>
    <w:rsid w:val="00DF146E"/>
    <w:rsid w:val="00DF35E1"/>
    <w:rsid w:val="00DF7D7A"/>
    <w:rsid w:val="00E01198"/>
    <w:rsid w:val="00E03281"/>
    <w:rsid w:val="00E0413B"/>
    <w:rsid w:val="00E058E8"/>
    <w:rsid w:val="00E11FB7"/>
    <w:rsid w:val="00E2152E"/>
    <w:rsid w:val="00E2478A"/>
    <w:rsid w:val="00E348F4"/>
    <w:rsid w:val="00E45762"/>
    <w:rsid w:val="00E45EA8"/>
    <w:rsid w:val="00E50B84"/>
    <w:rsid w:val="00E575CC"/>
    <w:rsid w:val="00E732DA"/>
    <w:rsid w:val="00E77AA1"/>
    <w:rsid w:val="00E80F08"/>
    <w:rsid w:val="00E82327"/>
    <w:rsid w:val="00E84491"/>
    <w:rsid w:val="00E85652"/>
    <w:rsid w:val="00E91BFE"/>
    <w:rsid w:val="00E91FD7"/>
    <w:rsid w:val="00EA2739"/>
    <w:rsid w:val="00EB29B0"/>
    <w:rsid w:val="00EB4FBA"/>
    <w:rsid w:val="00EB5819"/>
    <w:rsid w:val="00EB7BD9"/>
    <w:rsid w:val="00EB7DAA"/>
    <w:rsid w:val="00EC07C4"/>
    <w:rsid w:val="00EC639A"/>
    <w:rsid w:val="00EC7733"/>
    <w:rsid w:val="00ED2D5D"/>
    <w:rsid w:val="00ED45F9"/>
    <w:rsid w:val="00ED4831"/>
    <w:rsid w:val="00ED7BBB"/>
    <w:rsid w:val="00EE00DD"/>
    <w:rsid w:val="00EE3B28"/>
    <w:rsid w:val="00EE3D80"/>
    <w:rsid w:val="00EE5CB9"/>
    <w:rsid w:val="00EE70D3"/>
    <w:rsid w:val="00F024CA"/>
    <w:rsid w:val="00F02F21"/>
    <w:rsid w:val="00F06915"/>
    <w:rsid w:val="00F14087"/>
    <w:rsid w:val="00F1791C"/>
    <w:rsid w:val="00F26463"/>
    <w:rsid w:val="00F274E2"/>
    <w:rsid w:val="00F30DB3"/>
    <w:rsid w:val="00F37C32"/>
    <w:rsid w:val="00F40B4A"/>
    <w:rsid w:val="00F50BAA"/>
    <w:rsid w:val="00F5379D"/>
    <w:rsid w:val="00F53C6C"/>
    <w:rsid w:val="00F5743F"/>
    <w:rsid w:val="00F761ED"/>
    <w:rsid w:val="00F81114"/>
    <w:rsid w:val="00F828E3"/>
    <w:rsid w:val="00F9326D"/>
    <w:rsid w:val="00F93986"/>
    <w:rsid w:val="00FA0DFC"/>
    <w:rsid w:val="00FA0F8D"/>
    <w:rsid w:val="00FA2E54"/>
    <w:rsid w:val="00FB3FFC"/>
    <w:rsid w:val="00FC49B2"/>
    <w:rsid w:val="00FC5569"/>
    <w:rsid w:val="00FD1B3E"/>
    <w:rsid w:val="00FD4B5D"/>
    <w:rsid w:val="00FD61AE"/>
    <w:rsid w:val="00FE541D"/>
    <w:rsid w:val="00FF10F7"/>
    <w:rsid w:val="00FF2E2E"/>
    <w:rsid w:val="00FF3C39"/>
    <w:rsid w:val="00FF473D"/>
    <w:rsid w:val="00FF61B7"/>
    <w:rsid w:val="00FF7264"/>
    <w:rsid w:val="675D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nhideWhenUsed="0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  <w:jc w:val="both"/>
    </w:pPr>
    <w:rPr>
      <w:rFonts w:ascii="Times New Roman" w:hAnsi="Times New Roman" w:eastAsia="Calibri" w:cs="Times New Roman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240" w:line="240" w:lineRule="auto"/>
      <w:jc w:val="center"/>
      <w:outlineLvl w:val="0"/>
    </w:pPr>
    <w:rPr>
      <w:b/>
      <w:bCs/>
      <w:szCs w:val="28"/>
    </w:rPr>
  </w:style>
  <w:style w:type="paragraph" w:styleId="3">
    <w:name w:val="heading 2"/>
    <w:basedOn w:val="1"/>
    <w:next w:val="1"/>
    <w:link w:val="23"/>
    <w:unhideWhenUsed/>
    <w:qFormat/>
    <w:locked/>
    <w:uiPriority w:val="0"/>
    <w:pPr>
      <w:keepNext/>
      <w:spacing w:before="120" w:after="120" w:line="240" w:lineRule="auto"/>
      <w:jc w:val="left"/>
      <w:outlineLvl w:val="1"/>
    </w:pPr>
    <w:rPr>
      <w:rFonts w:eastAsia="Times New Roman"/>
      <w:b/>
      <w:bCs/>
      <w:iCs/>
      <w:szCs w:val="28"/>
    </w:rPr>
  </w:style>
  <w:style w:type="paragraph" w:styleId="4">
    <w:name w:val="heading 3"/>
    <w:basedOn w:val="1"/>
    <w:next w:val="1"/>
    <w:link w:val="43"/>
    <w:semiHidden/>
    <w:unhideWhenUsed/>
    <w:qFormat/>
    <w:locked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qFormat/>
    <w:locked/>
    <w:uiPriority w:val="0"/>
    <w:rPr>
      <w:i/>
      <w:iCs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styleId="9">
    <w:name w:val="Strong"/>
    <w:qFormat/>
    <w:locked/>
    <w:uiPriority w:val="0"/>
    <w:rPr>
      <w:b/>
      <w:bCs/>
    </w:rPr>
  </w:style>
  <w:style w:type="paragraph" w:styleId="10">
    <w:name w:val="Balloon Text"/>
    <w:basedOn w:val="1"/>
    <w:link w:val="24"/>
    <w:semiHidden/>
    <w:qFormat/>
    <w:uiPriority w:val="99"/>
    <w:pPr>
      <w:spacing w:line="240" w:lineRule="auto"/>
    </w:pPr>
    <w:rPr>
      <w:rFonts w:ascii="Tahoma" w:hAnsi="Tahoma"/>
      <w:sz w:val="16"/>
      <w:szCs w:val="16"/>
    </w:rPr>
  </w:style>
  <w:style w:type="paragraph" w:styleId="11">
    <w:name w:val="Document Map"/>
    <w:basedOn w:val="1"/>
    <w:link w:val="38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2">
    <w:name w:val="footnote text"/>
    <w:basedOn w:val="1"/>
    <w:link w:val="40"/>
    <w:semiHidden/>
    <w:uiPriority w:val="99"/>
    <w:pPr>
      <w:spacing w:line="240" w:lineRule="auto"/>
      <w:jc w:val="left"/>
    </w:pPr>
    <w:rPr>
      <w:rFonts w:eastAsia="Times New Roman"/>
      <w:sz w:val="20"/>
      <w:szCs w:val="20"/>
      <w:lang w:eastAsia="ar-SA"/>
    </w:rPr>
  </w:style>
  <w:style w:type="paragraph" w:styleId="13">
    <w:name w:val="header"/>
    <w:basedOn w:val="1"/>
    <w:link w:val="29"/>
    <w:qFormat/>
    <w:uiPriority w:val="99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paragraph" w:styleId="14">
    <w:name w:val="Body Text"/>
    <w:basedOn w:val="1"/>
    <w:link w:val="27"/>
    <w:qFormat/>
    <w:uiPriority w:val="99"/>
    <w:pPr>
      <w:spacing w:after="120"/>
    </w:pPr>
    <w:rPr>
      <w:rFonts w:ascii="Calibri" w:hAnsi="Calibri"/>
      <w:sz w:val="20"/>
      <w:szCs w:val="20"/>
    </w:rPr>
  </w:style>
  <w:style w:type="paragraph" w:styleId="15">
    <w:name w:val="toc 1"/>
    <w:basedOn w:val="1"/>
    <w:next w:val="1"/>
    <w:autoRedefine/>
    <w:qFormat/>
    <w:uiPriority w:val="39"/>
    <w:pPr>
      <w:spacing w:after="100"/>
    </w:pPr>
  </w:style>
  <w:style w:type="paragraph" w:styleId="16">
    <w:name w:val="toc 2"/>
    <w:basedOn w:val="1"/>
    <w:next w:val="1"/>
    <w:autoRedefine/>
    <w:qFormat/>
    <w:locked/>
    <w:uiPriority w:val="39"/>
    <w:pPr>
      <w:ind w:left="280"/>
    </w:pPr>
  </w:style>
  <w:style w:type="paragraph" w:styleId="17">
    <w:name w:val="Body Text Indent"/>
    <w:basedOn w:val="1"/>
    <w:link w:val="44"/>
    <w:semiHidden/>
    <w:unhideWhenUsed/>
    <w:qFormat/>
    <w:uiPriority w:val="99"/>
    <w:pPr>
      <w:spacing w:after="120"/>
      <w:ind w:left="283"/>
    </w:pPr>
  </w:style>
  <w:style w:type="paragraph" w:styleId="18">
    <w:name w:val="Title"/>
    <w:basedOn w:val="1"/>
    <w:next w:val="1"/>
    <w:link w:val="39"/>
    <w:qFormat/>
    <w:locked/>
    <w:uiPriority w:val="0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paragraph" w:styleId="19">
    <w:name w:val="footer"/>
    <w:basedOn w:val="1"/>
    <w:link w:val="30"/>
    <w:qFormat/>
    <w:uiPriority w:val="99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paragraph" w:styleId="20">
    <w:name w:val="Subtitle"/>
    <w:basedOn w:val="1"/>
    <w:next w:val="1"/>
    <w:link w:val="31"/>
    <w:qFormat/>
    <w:locked/>
    <w:uiPriority w:val="11"/>
    <w:pPr>
      <w:spacing w:after="60" w:line="240" w:lineRule="auto"/>
      <w:jc w:val="center"/>
      <w:outlineLvl w:val="1"/>
    </w:pPr>
    <w:rPr>
      <w:rFonts w:ascii="Cambria" w:hAnsi="Cambria" w:eastAsia="Times New Roman"/>
      <w:sz w:val="24"/>
      <w:szCs w:val="24"/>
      <w:lang w:val="en-US" w:bidi="en-US"/>
    </w:rPr>
  </w:style>
  <w:style w:type="table" w:styleId="21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Заголовок 1 Знак"/>
    <w:link w:val="2"/>
    <w:qFormat/>
    <w:locked/>
    <w:uiPriority w:val="9"/>
    <w:rPr>
      <w:rFonts w:ascii="Times New Roman" w:hAnsi="Times New Roman"/>
      <w:b/>
      <w:bCs/>
      <w:sz w:val="28"/>
      <w:szCs w:val="28"/>
    </w:rPr>
  </w:style>
  <w:style w:type="character" w:customStyle="1" w:styleId="23">
    <w:name w:val="Заголовок 2 Знак"/>
    <w:link w:val="3"/>
    <w:semiHidden/>
    <w:qFormat/>
    <w:uiPriority w:val="0"/>
    <w:rPr>
      <w:rFonts w:ascii="Times New Roman" w:hAnsi="Times New Roman" w:eastAsia="Times New Roman"/>
      <w:b/>
      <w:bCs/>
      <w:iCs/>
      <w:sz w:val="28"/>
      <w:szCs w:val="28"/>
      <w:lang w:eastAsia="en-US"/>
    </w:rPr>
  </w:style>
  <w:style w:type="character" w:customStyle="1" w:styleId="24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</w:rPr>
  </w:style>
  <w:style w:type="paragraph" w:customStyle="1" w:styleId="25">
    <w:name w:val="ЗАГОЛОВОК"/>
    <w:basedOn w:val="2"/>
    <w:next w:val="1"/>
    <w:link w:val="26"/>
    <w:qFormat/>
    <w:uiPriority w:val="99"/>
    <w:pPr>
      <w:spacing w:before="0" w:after="360" w:line="360" w:lineRule="auto"/>
      <w:ind w:firstLine="709"/>
    </w:pPr>
    <w:rPr>
      <w:color w:val="365F91"/>
      <w:sz w:val="32"/>
      <w:szCs w:val="32"/>
    </w:rPr>
  </w:style>
  <w:style w:type="character" w:customStyle="1" w:styleId="26">
    <w:name w:val="ЗАГОЛОВОК Знак"/>
    <w:link w:val="25"/>
    <w:qFormat/>
    <w:locked/>
    <w:uiPriority w:val="99"/>
    <w:rPr>
      <w:rFonts w:ascii="Times New Roman" w:hAnsi="Times New Roman" w:cs="Times New Roman"/>
      <w:b/>
      <w:bCs/>
      <w:color w:val="365F91"/>
      <w:sz w:val="32"/>
      <w:szCs w:val="32"/>
    </w:rPr>
  </w:style>
  <w:style w:type="character" w:customStyle="1" w:styleId="27">
    <w:name w:val="Основной текст Знак"/>
    <w:link w:val="14"/>
    <w:qFormat/>
    <w:locked/>
    <w:uiPriority w:val="99"/>
    <w:rPr>
      <w:rFonts w:cs="Times New Roman"/>
    </w:rPr>
  </w:style>
  <w:style w:type="paragraph" w:customStyle="1" w:styleId="28">
    <w:name w:val="TOC Heading"/>
    <w:basedOn w:val="2"/>
    <w:next w:val="1"/>
    <w:qFormat/>
    <w:uiPriority w:val="99"/>
    <w:pPr>
      <w:outlineLvl w:val="9"/>
    </w:pPr>
    <w:rPr>
      <w:lang w:eastAsia="ru-RU"/>
    </w:rPr>
  </w:style>
  <w:style w:type="character" w:customStyle="1" w:styleId="29">
    <w:name w:val="Верхний колонтитул Знак"/>
    <w:link w:val="13"/>
    <w:qFormat/>
    <w:locked/>
    <w:uiPriority w:val="99"/>
    <w:rPr>
      <w:rFonts w:cs="Times New Roman"/>
    </w:rPr>
  </w:style>
  <w:style w:type="character" w:customStyle="1" w:styleId="30">
    <w:name w:val="Нижний колонтитул Знак"/>
    <w:link w:val="19"/>
    <w:qFormat/>
    <w:locked/>
    <w:uiPriority w:val="99"/>
    <w:rPr>
      <w:rFonts w:cs="Times New Roman"/>
    </w:rPr>
  </w:style>
  <w:style w:type="character" w:customStyle="1" w:styleId="31">
    <w:name w:val="Подзаголовок Знак"/>
    <w:link w:val="20"/>
    <w:qFormat/>
    <w:uiPriority w:val="11"/>
    <w:rPr>
      <w:rFonts w:ascii="Cambria" w:hAnsi="Cambria" w:eastAsia="Times New Roman"/>
      <w:sz w:val="24"/>
      <w:szCs w:val="24"/>
      <w:lang w:val="en-US" w:eastAsia="en-US" w:bidi="en-US"/>
    </w:rPr>
  </w:style>
  <w:style w:type="paragraph" w:styleId="32">
    <w:name w:val="List Paragraph"/>
    <w:basedOn w:val="1"/>
    <w:link w:val="33"/>
    <w:qFormat/>
    <w:uiPriority w:val="34"/>
    <w:pPr>
      <w:spacing w:line="240" w:lineRule="auto"/>
      <w:ind w:left="720"/>
      <w:contextualSpacing/>
    </w:pPr>
    <w:rPr>
      <w:rFonts w:ascii="Tahoma" w:hAnsi="Tahoma" w:eastAsia="Tahoma"/>
      <w:color w:val="000000"/>
      <w:sz w:val="24"/>
      <w:szCs w:val="24"/>
    </w:rPr>
  </w:style>
  <w:style w:type="character" w:customStyle="1" w:styleId="33">
    <w:name w:val="Абзац списка Знак"/>
    <w:link w:val="32"/>
    <w:qFormat/>
    <w:locked/>
    <w:uiPriority w:val="34"/>
    <w:rPr>
      <w:rFonts w:ascii="Tahoma" w:hAnsi="Tahoma" w:eastAsia="Tahoma" w:cs="Tahoma"/>
      <w:color w:val="000000"/>
      <w:sz w:val="24"/>
      <w:szCs w:val="24"/>
    </w:rPr>
  </w:style>
  <w:style w:type="paragraph" w:customStyle="1" w:styleId="34">
    <w:name w:val="мой 1"/>
    <w:basedOn w:val="35"/>
    <w:qFormat/>
    <w:uiPriority w:val="0"/>
    <w:rPr>
      <w:rFonts w:eastAsia="Times New Roman"/>
      <w:sz w:val="24"/>
      <w:szCs w:val="32"/>
      <w:lang w:val="en-US" w:bidi="en-US"/>
    </w:rPr>
  </w:style>
  <w:style w:type="paragraph" w:styleId="35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6">
    <w:name w:val="apple-converted-space"/>
    <w:basedOn w:val="5"/>
    <w:qFormat/>
    <w:uiPriority w:val="0"/>
  </w:style>
  <w:style w:type="character" w:customStyle="1" w:styleId="37">
    <w:name w:val="apple-style-span"/>
    <w:basedOn w:val="5"/>
    <w:qFormat/>
    <w:uiPriority w:val="0"/>
  </w:style>
  <w:style w:type="character" w:customStyle="1" w:styleId="38">
    <w:name w:val="Схема документа Знак"/>
    <w:link w:val="11"/>
    <w:semiHidden/>
    <w:qFormat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39">
    <w:name w:val="Название Знак"/>
    <w:link w:val="18"/>
    <w:uiPriority w:val="0"/>
    <w:rPr>
      <w:rFonts w:ascii="Cambria" w:hAnsi="Cambria" w:eastAsia="Times New Roman" w:cs="Times New Roman"/>
      <w:b/>
      <w:bCs/>
      <w:kern w:val="28"/>
      <w:sz w:val="32"/>
      <w:szCs w:val="32"/>
      <w:lang w:eastAsia="en-US"/>
    </w:rPr>
  </w:style>
  <w:style w:type="character" w:customStyle="1" w:styleId="40">
    <w:name w:val="Текст сноски Знак"/>
    <w:basedOn w:val="5"/>
    <w:link w:val="12"/>
    <w:semiHidden/>
    <w:uiPriority w:val="99"/>
    <w:rPr>
      <w:rFonts w:ascii="Times New Roman" w:hAnsi="Times New Roman" w:eastAsia="Times New Roman"/>
      <w:lang w:eastAsia="ar-SA"/>
    </w:rPr>
  </w:style>
  <w:style w:type="paragraph" w:customStyle="1" w:styleId="41">
    <w:name w:val="s_1"/>
    <w:basedOn w:val="1"/>
    <w:uiPriority w:val="0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42">
    <w:name w:val="ConsPlusCell"/>
    <w:qFormat/>
    <w:uiPriority w:val="0"/>
    <w:pPr>
      <w:widowControl w:val="0"/>
      <w:suppressAutoHyphens/>
      <w:autoSpaceDE w:val="0"/>
    </w:pPr>
    <w:rPr>
      <w:rFonts w:ascii="Calibri" w:hAnsi="Calibri" w:eastAsia="Times New Roman" w:cs="Calibri"/>
      <w:kern w:val="1"/>
      <w:sz w:val="22"/>
      <w:szCs w:val="22"/>
      <w:lang w:val="ru-RU" w:eastAsia="ar-SA" w:bidi="ar-SA"/>
    </w:rPr>
  </w:style>
  <w:style w:type="character" w:customStyle="1" w:styleId="43">
    <w:name w:val="Заголовок 3 Знак"/>
    <w:basedOn w:val="5"/>
    <w:link w:val="4"/>
    <w:semiHidden/>
    <w:uiPriority w:val="0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en-US"/>
    </w:rPr>
  </w:style>
  <w:style w:type="character" w:customStyle="1" w:styleId="44">
    <w:name w:val="Основной текст с отступом Знак"/>
    <w:basedOn w:val="5"/>
    <w:link w:val="17"/>
    <w:semiHidden/>
    <w:uiPriority w:val="99"/>
    <w:rPr>
      <w:rFonts w:ascii="Times New Roman" w:hAnsi="Times New Roman"/>
      <w:sz w:val="28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5.emf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0DAC6B-A75E-4025-8ABF-F52D866E95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ООО «ИТЦ ЭНЕРГОЭФФЕКТ»</Company>
  <Pages>23</Pages>
  <Words>5693</Words>
  <Characters>32452</Characters>
  <Lines>270</Lines>
  <Paragraphs>76</Paragraphs>
  <TotalTime>16</TotalTime>
  <ScaleCrop>false</ScaleCrop>
  <LinksUpToDate>false</LinksUpToDate>
  <CharactersWithSpaces>38069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2025-10-15T07:37:00Z</dcterms:created>
  <dc:creator>Величинская Анжелика Юрьевна</dc:creator>
  <cp:lastModifiedBy>user</cp:lastModifiedBy>
  <cp:lastPrinted>2025-10-15T11:11:46Z</cp:lastPrinted>
  <dcterms:modified xsi:type="dcterms:W3CDTF">2025-10-15T11:21:05Z</dcterms:modified>
  <dc:subject>Утверждаемая часть</dc:subject>
  <dc:title>Схема теплоснабжения села Панаевск Ямальского района Тюменской области ХМАО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3CC4FD581C094266AA8F714283EB8318_13</vt:lpwstr>
  </property>
</Properties>
</file>