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right"/>
        <w:outlineLvl w:val="0"/>
      </w:pPr>
      <w:r>
        <w:t>Приложение</w:t>
      </w:r>
    </w:p>
    <w:p w:rsidR="002244E7" w:rsidRDefault="002244E7">
      <w:pPr>
        <w:pStyle w:val="ConsPlusNormal"/>
        <w:jc w:val="right"/>
      </w:pPr>
      <w:r>
        <w:t>к постановлению</w:t>
      </w:r>
    </w:p>
    <w:p w:rsidR="002244E7" w:rsidRDefault="002244E7">
      <w:pPr>
        <w:pStyle w:val="ConsPlusNormal"/>
        <w:jc w:val="right"/>
      </w:pPr>
      <w:r>
        <w:t>Избирательной комиссии</w:t>
      </w:r>
    </w:p>
    <w:p w:rsidR="002244E7" w:rsidRDefault="002244E7">
      <w:pPr>
        <w:pStyle w:val="ConsPlusNormal"/>
        <w:jc w:val="right"/>
      </w:pPr>
      <w:r>
        <w:t>Пензенской области</w:t>
      </w:r>
    </w:p>
    <w:p w:rsidR="002244E7" w:rsidRDefault="002244E7">
      <w:pPr>
        <w:pStyle w:val="ConsPlusNormal"/>
        <w:jc w:val="right"/>
      </w:pPr>
      <w:r>
        <w:t>от 25 января 2019 г. N 65/442-6</w:t>
      </w: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Title"/>
        <w:jc w:val="center"/>
      </w:pPr>
      <w:bookmarkStart w:id="0" w:name="P39"/>
      <w:bookmarkEnd w:id="0"/>
      <w:r>
        <w:t>МЕТОДИЧЕСКИЕ РЕКОМЕНДАЦИИ</w:t>
      </w:r>
    </w:p>
    <w:p w:rsidR="002244E7" w:rsidRDefault="002244E7">
      <w:pPr>
        <w:pStyle w:val="ConsPlusTitle"/>
        <w:jc w:val="center"/>
      </w:pPr>
      <w:r>
        <w:t>ПО РЕАЛИЗАЦИИ УСЛОВИЙ ПРОВЕДЕНИЯ ПУБЛИЧНЫХ МЕРОПРИЯТИЙ,</w:t>
      </w:r>
    </w:p>
    <w:p w:rsidR="002244E7" w:rsidRDefault="002244E7">
      <w:pPr>
        <w:pStyle w:val="ConsPlusTitle"/>
        <w:jc w:val="center"/>
      </w:pPr>
      <w:r>
        <w:t>ПРОВОДИМЫХ В ФОРМЕ СОБРАНИЙ НА ВЫБОРАХ ДЕПУТАТОВ</w:t>
      </w:r>
    </w:p>
    <w:p w:rsidR="002244E7" w:rsidRDefault="002244E7">
      <w:pPr>
        <w:pStyle w:val="ConsPlusTitle"/>
        <w:jc w:val="center"/>
      </w:pPr>
      <w:r>
        <w:t>ПРЕДСТАВИТЕЛЬНОГО ОРГАНА МУНИЦИПАЛЬНОГО ОБРАЗОВАНИЯ</w:t>
      </w:r>
    </w:p>
    <w:p w:rsidR="002244E7" w:rsidRDefault="002244E7">
      <w:pPr>
        <w:pStyle w:val="ConsPlusTitle"/>
        <w:jc w:val="center"/>
      </w:pPr>
      <w:r>
        <w:t>В ПЕНЗЕНСКОЙ ОБЛАСТИ</w:t>
      </w:r>
    </w:p>
    <w:p w:rsidR="002244E7" w:rsidRDefault="002244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244E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44E7" w:rsidRDefault="002244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44E7" w:rsidRDefault="002244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Избиркома Пензенской обл. от 14.06.2022 N 10/140-7)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</w:tr>
    </w:tbl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ind w:firstLine="540"/>
        <w:jc w:val="both"/>
      </w:pPr>
      <w:r>
        <w:t xml:space="preserve">Условия проведения предвыборной агитации посредством агитационных публичных мероприятий при проведении выборов депутатов представительного органа муниципального образования регулируются </w:t>
      </w:r>
      <w:hyperlink r:id="rId5">
        <w:r>
          <w:rPr>
            <w:color w:val="0000FF"/>
          </w:rPr>
          <w:t>статьей 51</w:t>
        </w:r>
      </w:hyperlink>
      <w:r>
        <w:t xml:space="preserve"> Закона Пензенской области от 26 февраля 2006 года N 976-ЗПО "О выборах депутатов представительного органа муниципального образования в Пензенской области по одномандатным избирательным округам" (далее - Закон Пензенской области N 976-ЗПО), </w:t>
      </w:r>
      <w:hyperlink r:id="rId6">
        <w:r>
          <w:rPr>
            <w:color w:val="0000FF"/>
          </w:rPr>
          <w:t>статьей 51</w:t>
        </w:r>
      </w:hyperlink>
      <w:r>
        <w:t xml:space="preserve"> Закона Пензенской области от 22 мая 2006 года N 1048-ЗПО "О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округу" (далее - Закон Пензенской области N 1048-ЗПО).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 xml:space="preserve">Требования </w:t>
      </w:r>
      <w:hyperlink r:id="rId7">
        <w:r>
          <w:rPr>
            <w:color w:val="0000FF"/>
          </w:rPr>
          <w:t>статьи 51</w:t>
        </w:r>
      </w:hyperlink>
      <w:r>
        <w:t xml:space="preserve"> Закона Пензенской области N 976-ЗПО, </w:t>
      </w:r>
      <w:hyperlink r:id="rId8">
        <w:r>
          <w:rPr>
            <w:color w:val="0000FF"/>
          </w:rPr>
          <w:t>статьи 51</w:t>
        </w:r>
      </w:hyperlink>
      <w:r>
        <w:t xml:space="preserve"> Закона Пензенской области N 1048-ЗПО касаются собственников и владельцев помещений, пригодных для проведения агитационных публичных мероприятий и находящихся в государственной или муниципальной собственности, а равно помещений, находящихся в собственности организаций, имеющих на день официального опубликования (публикации) решения о назначении выборов депутатов представительного органа муниципального образования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процентов. При этом избирательная комиссия, организующая подготовку и проведение выборов в органы местного самоуправления обязана обеспечить кандидатам, избирательным объединениям, выдвинувшим зарегистрированные списки кандидатов, равные условия проведения предвыборной агитации посредством агитационных публичных мероприятий.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В целях создания условий проведения предвыборной агитации посредством агитационных публичных мероприятий избирательной комиссии, организующей подготовку и проведение выборов в органы местного самоуправления необходимо запросить у главы администрации муниципального образования информацию о помещениях, подпадающих под вышеуказанные требования и пригодных для проведения встреч с избирателями, по форме: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644"/>
        <w:gridCol w:w="1531"/>
        <w:gridCol w:w="1531"/>
        <w:gridCol w:w="1644"/>
        <w:gridCol w:w="1984"/>
      </w:tblGrid>
      <w:tr w:rsidR="002244E7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t>Наименование и адрес организации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t>Адрес помещения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t>Площадь помещения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t xml:space="preserve">Контакты организации (телефон, факс, адрес электронной </w:t>
            </w:r>
            <w:r>
              <w:lastRenderedPageBreak/>
              <w:t>почты)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44E7" w:rsidRDefault="002244E7">
            <w:pPr>
              <w:pStyle w:val="ConsPlusNormal"/>
              <w:jc w:val="center"/>
            </w:pPr>
            <w:r>
              <w:lastRenderedPageBreak/>
              <w:t>Дни недели и возможные часы предоставления помещения</w:t>
            </w:r>
          </w:p>
        </w:tc>
      </w:tr>
    </w:tbl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ind w:firstLine="540"/>
        <w:jc w:val="both"/>
      </w:pPr>
      <w:r>
        <w:t xml:space="preserve">Установить постановлением (решением) избирательной комиссии, организующей подготовку и проведение выборов в органы местного самоуправления время, на которое предоставляются помещения, пригодные для проведения встреч с избирателями для кандидатов и избирательных объединений, а также форму </w:t>
      </w:r>
      <w:hyperlink w:anchor="P99">
        <w:r>
          <w:rPr>
            <w:color w:val="0000FF"/>
          </w:rPr>
          <w:t>уведомления</w:t>
        </w:r>
      </w:hyperlink>
      <w:r>
        <w:t xml:space="preserve"> собственника, владельца помещения, предоставляемого безвозмездно в соответствии с </w:t>
      </w:r>
      <w:hyperlink r:id="rId11">
        <w:r>
          <w:rPr>
            <w:color w:val="0000FF"/>
          </w:rPr>
          <w:t>частью 3 статьи 51</w:t>
        </w:r>
      </w:hyperlink>
      <w:r>
        <w:t xml:space="preserve"> Закона Пензенской области N 976-ЗПО, </w:t>
      </w:r>
      <w:hyperlink r:id="rId12">
        <w:r>
          <w:rPr>
            <w:color w:val="0000FF"/>
          </w:rPr>
          <w:t>частью 3 статьи 51</w:t>
        </w:r>
      </w:hyperlink>
      <w:r>
        <w:t xml:space="preserve"> Закона Пензенской области N 1048-ЗПО,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 xml:space="preserve">Полученную от главы администрации информацию о помещениях, пригодных для проведения встреч с избирателями, постановление (решение) избирательной комиссии, организующей подготовку и проведение выборов в органы местного самоуправления о времени, на которое предоставляются помещения, а также форму уведомления собственника, владельца помещения, предоставляемого безвозмездно в соответствии с </w:t>
      </w:r>
      <w:hyperlink r:id="rId14">
        <w:r>
          <w:rPr>
            <w:color w:val="0000FF"/>
          </w:rPr>
          <w:t>частью 3 статьи 51</w:t>
        </w:r>
      </w:hyperlink>
      <w:r>
        <w:t xml:space="preserve"> Закона Пензенской области N 976-ЗПО, </w:t>
      </w:r>
      <w:hyperlink r:id="rId15">
        <w:r>
          <w:rPr>
            <w:color w:val="0000FF"/>
          </w:rPr>
          <w:t>частью 3 статьи 51</w:t>
        </w:r>
      </w:hyperlink>
      <w:r>
        <w:t xml:space="preserve"> Закона Пензенской области N 1048-ЗПО, о факте предоставления помещения зарегистрированному кандидату, избирательному объединению, выдвинувшему зарегистрированный список кандидатов, необходимо разместить в информационно-телекоммуникационной сети "Интернет", опубликовать в средствах массовой информации либо довести до сведения зарегистрированных кандидатов, избирательных объединений, выдвинувших зарегистрированные списки кандидатов, собственников, владельцев помещений иным способом.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 xml:space="preserve">Провести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комиссии, организующей подготовку и проведение выборов в органы местного самоуправления о предоставленном помещении. Обратить их внимание на то, что за нарушение порядка и сроков уведомления избирательной комиссии о факте предоставления помещений и права на предоставление помещений для встреч с избирателями, а также нарушение равных условий предоставления такого помещения, </w:t>
      </w:r>
      <w:hyperlink r:id="rId17">
        <w:r>
          <w:rPr>
            <w:color w:val="0000FF"/>
          </w:rPr>
          <w:t>частями 1</w:t>
        </w:r>
      </w:hyperlink>
      <w:r>
        <w:t xml:space="preserve"> и </w:t>
      </w:r>
      <w:hyperlink r:id="rId18">
        <w:r>
          <w:rPr>
            <w:color w:val="0000FF"/>
          </w:rPr>
          <w:t>2 статьи 5.15</w:t>
        </w:r>
      </w:hyperlink>
      <w:r>
        <w:t xml:space="preserve"> Кодекса Российской Федерации об административных правонарушениях предусмотрена административная ответственность.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Указанную работу избирательная комиссия, организующая подготовку и проведение выборов в органы местного самоуправления должна провести заблаговременно, не позднее окончания регистрации кандидатов, списков кандидатов.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По заявке зарегистрированного кандидата, избирательного объединения, выдвинувшего зарегистрированный список кандидатов, помещение безвозмездно предоставляется собственником, владельцем помещения зарегистрированному кандидату, его доверенным лицам, представителям избирательного объединения, выдвинувшего зарегистрированный список кандидатов, для встреч с избирателями.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Заявка на предоставление помещения рассматривается собственником, владельцем помещения в течение трех дней со дня подачи указанной заявки.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 xml:space="preserve">Если помещение было предоставлено одному зарегистрированному кандидату, избирательному объединению, выдвинувшему зарегистрированный список кандидатов, собственник, владелец помещения не вправе отказать другому зарегистрированному кандидату, </w:t>
      </w:r>
      <w:r>
        <w:lastRenderedPageBreak/>
        <w:t>избирательному объединению, выдвинувшему зарегистрированный список кандидатов, в предоставлении помещения на таких же условиях в иное время в течение агитационного периода. В случае предоставления помещения зарегистрированному кандидату, избирательному объединению, выдвинувшему зарегистрированный список кандидатов, собственник, владелец помещения не позднее дня, следующего за днем предоставления помещения, обязаны уведомить в письменной форме избирательную комиссию, организующую подготовку и проведение выборов в органы местного самоуправления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объединениям, выдвинувшим зарегистрированные списки кандидатов.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Избирательная комиссия, организующая подготовку и проведение выборов в органы местного самоуправления, получившая уведомление о факте предоставления помещения зарегистрированному кандидату, избирательному объединению, в течение двух суток с момента получения уведомления обязана разместить содержащуюся в нем информацию в сети "Интернет" или иным способом довести ее до сведения других зарегистрированных кандидатов, избирательных объединений, выдвинувших зарегистрированные списки кандидатов.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>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кандидатов, вправе арендовать на основе договора здания и помещения, принадлежащие гражданам и организациям независимо от форм собственности, для проведения агитационных публичных мероприятий.</w:t>
      </w:r>
    </w:p>
    <w:p w:rsidR="002244E7" w:rsidRDefault="002244E7">
      <w:pPr>
        <w:pStyle w:val="ConsPlusNormal"/>
        <w:spacing w:before="220"/>
        <w:ind w:firstLine="540"/>
        <w:jc w:val="both"/>
      </w:pPr>
      <w:r>
        <w:t xml:space="preserve">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"Об основных гарантиях избирательных прав и права на участие в референдуме граждан Российской Федерации" предвыборная агитация в расположении воинских частей, военных организаций и учреждений запрещается, за исключением случая, когда единственное здание или помещение, пригодное для проведения агитационного публичного мероприятия в форме собрания, находится в расположении воинской части либо в военной организации или учреждении. Такое здание или помещение предоставляется командиром воинской части по запросу избирательной комиссии, организующей подготовку и проведение выборов в органы местного самоуправления для встреч зарегистрированных кандидатов, их доверенных лиц, представителей избирательных объединений, выдвинувших зарегистрированные списки кандидатов, с избирателями из числа военнослужащих. Организацию указанных встреч обеспечивает командир воинской части совместно с избирательной комиссией, организующей подготовку и проведение выборов в органы местного самоуправления, при этом все зарегистрированные кандидаты либо их доверенные лица, представители всех избирательных объединений, выдвинувших зарегистрированные списки кандидатов, оповещаются о месте и времени встречи не позднее чем за три дня до ее проведения.</w:t>
      </w:r>
    </w:p>
    <w:p w:rsidR="002244E7" w:rsidRDefault="002244E7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Избиркома Пензенской обл. от 14.06.2022 N 10/140-7)</w:t>
      </w: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right"/>
        <w:outlineLvl w:val="1"/>
      </w:pPr>
      <w:r>
        <w:t>Приложение</w:t>
      </w:r>
    </w:p>
    <w:p w:rsidR="002244E7" w:rsidRDefault="002244E7">
      <w:pPr>
        <w:pStyle w:val="ConsPlusNormal"/>
        <w:jc w:val="right"/>
      </w:pPr>
      <w:r>
        <w:t>к Методическим рекомендациям</w:t>
      </w:r>
    </w:p>
    <w:p w:rsidR="002244E7" w:rsidRDefault="002244E7">
      <w:pPr>
        <w:pStyle w:val="ConsPlusNormal"/>
        <w:jc w:val="right"/>
      </w:pPr>
      <w:r>
        <w:t>по реализации условий проведения</w:t>
      </w:r>
    </w:p>
    <w:p w:rsidR="002244E7" w:rsidRDefault="002244E7">
      <w:pPr>
        <w:pStyle w:val="ConsPlusNormal"/>
        <w:jc w:val="right"/>
      </w:pPr>
      <w:r>
        <w:t>публичных мероприятий,</w:t>
      </w:r>
    </w:p>
    <w:p w:rsidR="002244E7" w:rsidRDefault="002244E7">
      <w:pPr>
        <w:pStyle w:val="ConsPlusNormal"/>
        <w:jc w:val="right"/>
      </w:pPr>
      <w:r>
        <w:t>проводимых в форме собраний</w:t>
      </w:r>
    </w:p>
    <w:p w:rsidR="002244E7" w:rsidRDefault="002244E7">
      <w:pPr>
        <w:pStyle w:val="ConsPlusNormal"/>
        <w:jc w:val="right"/>
      </w:pPr>
      <w:r>
        <w:t>на выборах депутатов</w:t>
      </w:r>
    </w:p>
    <w:p w:rsidR="002244E7" w:rsidRDefault="002244E7">
      <w:pPr>
        <w:pStyle w:val="ConsPlusNormal"/>
        <w:jc w:val="right"/>
      </w:pPr>
      <w:r>
        <w:t>представительного органа</w:t>
      </w:r>
    </w:p>
    <w:p w:rsidR="002244E7" w:rsidRDefault="002244E7">
      <w:pPr>
        <w:pStyle w:val="ConsPlusNormal"/>
        <w:jc w:val="right"/>
      </w:pPr>
      <w:r>
        <w:lastRenderedPageBreak/>
        <w:t>муниципального образования</w:t>
      </w:r>
    </w:p>
    <w:p w:rsidR="002244E7" w:rsidRDefault="002244E7">
      <w:pPr>
        <w:pStyle w:val="ConsPlusNormal"/>
        <w:jc w:val="right"/>
      </w:pPr>
      <w:r>
        <w:t>в Пензенской области</w:t>
      </w:r>
    </w:p>
    <w:p w:rsidR="002244E7" w:rsidRDefault="002244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244E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44E7" w:rsidRDefault="002244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44E7" w:rsidRDefault="002244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Избиркома Пензенской обл. от 14.06.2022 N 10/140-7)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44E7" w:rsidRDefault="002244E7">
            <w:pPr>
              <w:pStyle w:val="ConsPlusNormal"/>
            </w:pPr>
          </w:p>
        </w:tc>
      </w:tr>
    </w:tbl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right"/>
      </w:pPr>
      <w:r>
        <w:t>В избирательную комиссию,</w:t>
      </w:r>
    </w:p>
    <w:p w:rsidR="002244E7" w:rsidRDefault="002244E7">
      <w:pPr>
        <w:pStyle w:val="ConsPlusNormal"/>
        <w:jc w:val="right"/>
      </w:pPr>
      <w:r>
        <w:t>организующую подготовку</w:t>
      </w:r>
    </w:p>
    <w:p w:rsidR="002244E7" w:rsidRDefault="002244E7">
      <w:pPr>
        <w:pStyle w:val="ConsPlusNormal"/>
        <w:jc w:val="right"/>
      </w:pPr>
      <w:r>
        <w:t>и проведение выборов в органы</w:t>
      </w:r>
    </w:p>
    <w:p w:rsidR="002244E7" w:rsidRDefault="002244E7">
      <w:pPr>
        <w:pStyle w:val="ConsPlusNormal"/>
        <w:jc w:val="right"/>
      </w:pPr>
      <w:r>
        <w:t>местного самоуправления</w:t>
      </w: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center"/>
      </w:pPr>
      <w:bookmarkStart w:id="1" w:name="P99"/>
      <w:bookmarkEnd w:id="1"/>
      <w:r>
        <w:t>Уведомление</w:t>
      </w:r>
    </w:p>
    <w:p w:rsidR="002244E7" w:rsidRDefault="002244E7">
      <w:pPr>
        <w:pStyle w:val="ConsPlusNormal"/>
        <w:jc w:val="center"/>
      </w:pPr>
      <w:r>
        <w:t>собственника, владельца помещения, предоставляемого</w:t>
      </w:r>
    </w:p>
    <w:p w:rsidR="002244E7" w:rsidRDefault="002244E7">
      <w:pPr>
        <w:pStyle w:val="ConsPlusNormal"/>
        <w:jc w:val="center"/>
      </w:pPr>
      <w:r>
        <w:t>безвозмездно в соответствии с частью 3 статьи 51 Закона</w:t>
      </w:r>
    </w:p>
    <w:p w:rsidR="002244E7" w:rsidRDefault="002244E7">
      <w:pPr>
        <w:pStyle w:val="ConsPlusNormal"/>
        <w:jc w:val="center"/>
      </w:pPr>
      <w:r>
        <w:t>Пензенской области "О выборах депутатов представительного</w:t>
      </w:r>
    </w:p>
    <w:p w:rsidR="002244E7" w:rsidRDefault="002244E7">
      <w:pPr>
        <w:pStyle w:val="ConsPlusNormal"/>
        <w:jc w:val="center"/>
      </w:pPr>
      <w:r>
        <w:t>органа муниципального образования в Пензенской области</w:t>
      </w:r>
    </w:p>
    <w:p w:rsidR="002244E7" w:rsidRDefault="002244E7">
      <w:pPr>
        <w:pStyle w:val="ConsPlusNormal"/>
        <w:jc w:val="center"/>
      </w:pPr>
      <w:r>
        <w:t>по одномандатным избирательным округам" (частью 3 статьи 51</w:t>
      </w:r>
    </w:p>
    <w:p w:rsidR="002244E7" w:rsidRDefault="002244E7">
      <w:pPr>
        <w:pStyle w:val="ConsPlusNormal"/>
        <w:jc w:val="center"/>
      </w:pPr>
      <w:r>
        <w:t>Закона Пензенской области "О выборах депутатов</w:t>
      </w:r>
    </w:p>
    <w:p w:rsidR="002244E7" w:rsidRDefault="002244E7">
      <w:pPr>
        <w:pStyle w:val="ConsPlusNormal"/>
        <w:jc w:val="center"/>
      </w:pPr>
      <w:r>
        <w:t>представительного органа муниципального образования</w:t>
      </w:r>
    </w:p>
    <w:p w:rsidR="002244E7" w:rsidRDefault="002244E7">
      <w:pPr>
        <w:pStyle w:val="ConsPlusNormal"/>
        <w:jc w:val="center"/>
      </w:pPr>
      <w:r>
        <w:t>в Пензенской области по одномандатным избирательным округам</w:t>
      </w:r>
    </w:p>
    <w:p w:rsidR="002244E7" w:rsidRDefault="002244E7">
      <w:pPr>
        <w:pStyle w:val="ConsPlusNormal"/>
        <w:jc w:val="center"/>
      </w:pPr>
      <w:r>
        <w:t>и по единому избирательному округу"), о факте предоставления</w:t>
      </w:r>
    </w:p>
    <w:p w:rsidR="002244E7" w:rsidRDefault="002244E7">
      <w:pPr>
        <w:pStyle w:val="ConsPlusNormal"/>
        <w:jc w:val="center"/>
      </w:pPr>
      <w:r>
        <w:t>помещения зарегистрированному кандидату, избирательному</w:t>
      </w:r>
    </w:p>
    <w:p w:rsidR="002244E7" w:rsidRDefault="002244E7">
      <w:pPr>
        <w:pStyle w:val="ConsPlusNormal"/>
        <w:jc w:val="center"/>
      </w:pPr>
      <w:r>
        <w:t>объединению, выдвинувшему зарегистрированный список</w:t>
      </w:r>
    </w:p>
    <w:p w:rsidR="002244E7" w:rsidRDefault="002244E7">
      <w:pPr>
        <w:pStyle w:val="ConsPlusNormal"/>
        <w:jc w:val="center"/>
      </w:pPr>
      <w:r>
        <w:t>кандидатов</w:t>
      </w: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sectPr w:rsidR="002244E7" w:rsidSect="00521D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62"/>
        <w:gridCol w:w="1871"/>
        <w:gridCol w:w="2154"/>
        <w:gridCol w:w="1361"/>
        <w:gridCol w:w="1417"/>
        <w:gridCol w:w="1928"/>
        <w:gridCol w:w="1800"/>
      </w:tblGrid>
      <w:tr w:rsidR="002244E7">
        <w:tc>
          <w:tcPr>
            <w:tcW w:w="567" w:type="dxa"/>
          </w:tcPr>
          <w:p w:rsidR="002244E7" w:rsidRDefault="002244E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62" w:type="dxa"/>
          </w:tcPr>
          <w:p w:rsidR="002244E7" w:rsidRDefault="002244E7">
            <w:pPr>
              <w:pStyle w:val="ConsPlusNormal"/>
              <w:jc w:val="center"/>
            </w:pPr>
            <w:r>
              <w:t>Наименование организации, представившей уведомление</w:t>
            </w:r>
          </w:p>
        </w:tc>
        <w:tc>
          <w:tcPr>
            <w:tcW w:w="1871" w:type="dxa"/>
          </w:tcPr>
          <w:p w:rsidR="002244E7" w:rsidRDefault="002244E7">
            <w:pPr>
              <w:pStyle w:val="ConsPlusNormal"/>
              <w:jc w:val="center"/>
            </w:pPr>
            <w:r>
              <w:t>Контакты организации, представившей уведомление (адрес, телефон, факс, адрес электронной почты)</w:t>
            </w:r>
          </w:p>
        </w:tc>
        <w:tc>
          <w:tcPr>
            <w:tcW w:w="2154" w:type="dxa"/>
          </w:tcPr>
          <w:p w:rsidR="002244E7" w:rsidRDefault="002244E7">
            <w:pPr>
              <w:pStyle w:val="ConsPlusNormal"/>
              <w:jc w:val="center"/>
            </w:pPr>
            <w:r>
              <w:t>Ф.И.О. кандидата, наименование избирательного объединения, которому предоставлено помещение</w:t>
            </w:r>
          </w:p>
        </w:tc>
        <w:tc>
          <w:tcPr>
            <w:tcW w:w="1361" w:type="dxa"/>
          </w:tcPr>
          <w:p w:rsidR="002244E7" w:rsidRDefault="002244E7">
            <w:pPr>
              <w:pStyle w:val="ConsPlusNormal"/>
              <w:jc w:val="center"/>
            </w:pPr>
            <w:r>
              <w:t>Адрес помещения</w:t>
            </w:r>
          </w:p>
        </w:tc>
        <w:tc>
          <w:tcPr>
            <w:tcW w:w="1417" w:type="dxa"/>
          </w:tcPr>
          <w:p w:rsidR="002244E7" w:rsidRDefault="002244E7">
            <w:pPr>
              <w:pStyle w:val="ConsPlusNormal"/>
              <w:jc w:val="center"/>
            </w:pPr>
            <w:r>
              <w:t>Площадь помещения</w:t>
            </w:r>
          </w:p>
        </w:tc>
        <w:tc>
          <w:tcPr>
            <w:tcW w:w="1928" w:type="dxa"/>
          </w:tcPr>
          <w:p w:rsidR="002244E7" w:rsidRDefault="002244E7">
            <w:pPr>
              <w:pStyle w:val="ConsPlusNormal"/>
              <w:jc w:val="center"/>
            </w:pPr>
            <w:r>
              <w:t>Число, месяц, год и промежуток времени в течение суток, в котором помещение предоставлялось</w:t>
            </w:r>
          </w:p>
        </w:tc>
        <w:tc>
          <w:tcPr>
            <w:tcW w:w="1800" w:type="dxa"/>
          </w:tcPr>
          <w:p w:rsidR="002244E7" w:rsidRDefault="002244E7">
            <w:pPr>
              <w:pStyle w:val="ConsPlusNormal"/>
              <w:jc w:val="center"/>
            </w:pPr>
            <w:r>
              <w:t>Дни и время, когда помещение может быть предоставлено другим кандидатам, избирательным объединениям</w:t>
            </w:r>
          </w:p>
        </w:tc>
      </w:tr>
      <w:tr w:rsidR="002244E7">
        <w:tc>
          <w:tcPr>
            <w:tcW w:w="567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762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871" w:type="dxa"/>
          </w:tcPr>
          <w:p w:rsidR="002244E7" w:rsidRDefault="002244E7">
            <w:pPr>
              <w:pStyle w:val="ConsPlusNormal"/>
            </w:pPr>
          </w:p>
        </w:tc>
        <w:tc>
          <w:tcPr>
            <w:tcW w:w="2154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361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417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928" w:type="dxa"/>
          </w:tcPr>
          <w:p w:rsidR="002244E7" w:rsidRDefault="002244E7">
            <w:pPr>
              <w:pStyle w:val="ConsPlusNormal"/>
            </w:pPr>
          </w:p>
        </w:tc>
        <w:tc>
          <w:tcPr>
            <w:tcW w:w="1800" w:type="dxa"/>
          </w:tcPr>
          <w:p w:rsidR="002244E7" w:rsidRDefault="002244E7">
            <w:pPr>
              <w:pStyle w:val="ConsPlusNormal"/>
            </w:pPr>
          </w:p>
        </w:tc>
      </w:tr>
    </w:tbl>
    <w:p w:rsidR="002244E7" w:rsidRDefault="002244E7">
      <w:pPr>
        <w:pStyle w:val="ConsPlusNormal"/>
        <w:jc w:val="both"/>
      </w:pPr>
    </w:p>
    <w:p w:rsidR="002244E7" w:rsidRDefault="002244E7">
      <w:pPr>
        <w:pStyle w:val="ConsPlusNonformat"/>
        <w:jc w:val="both"/>
      </w:pPr>
      <w:r>
        <w:t>Руководитель            ______________________ (фамилия, инициалы)</w:t>
      </w:r>
    </w:p>
    <w:p w:rsidR="002244E7" w:rsidRDefault="002244E7">
      <w:pPr>
        <w:pStyle w:val="ConsPlusNonformat"/>
        <w:jc w:val="both"/>
      </w:pPr>
    </w:p>
    <w:p w:rsidR="002244E7" w:rsidRDefault="002244E7">
      <w:pPr>
        <w:pStyle w:val="ConsPlusNonformat"/>
        <w:jc w:val="both"/>
      </w:pPr>
      <w:r>
        <w:t>МП</w:t>
      </w: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jc w:val="both"/>
      </w:pPr>
    </w:p>
    <w:p w:rsidR="002244E7" w:rsidRDefault="002244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908" w:rsidRDefault="00E21908">
      <w:bookmarkStart w:id="2" w:name="_GoBack"/>
      <w:bookmarkEnd w:id="2"/>
    </w:p>
    <w:sectPr w:rsidR="00E21908" w:rsidSect="00A94EE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4E7"/>
    <w:rsid w:val="002244E7"/>
    <w:rsid w:val="00995AA0"/>
    <w:rsid w:val="00A94EEA"/>
    <w:rsid w:val="00E2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4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244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24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244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E8645801F8BBF78CDADE95BE4AC627C952DE28FEC90E95691C0881945F853E6DAF685E064A3F483AF49F261A98040684A559849BB335EC3A5DF5D7YBC0L" TargetMode="External"/><Relationship Id="rId13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18" Type="http://schemas.openxmlformats.org/officeDocument/2006/relationships/hyperlink" Target="consultantplus://offline/ref=94E8645801F8BBF78CDAC098A8269828CC5B8223FFC703CB30410ED6CB0F836B2DEF6E0E46063B426EA5DD7510925249C0F14A8799AFY3C6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7" Type="http://schemas.openxmlformats.org/officeDocument/2006/relationships/hyperlink" Target="consultantplus://offline/ref=94E8645801F8BBF78CDADE95BE4AC627C952DE28FEC90E956A150881945F853E6DAF685E064A3F483AF49F251E98040684A559849BB335EC3A5DF5D7YBC0L" TargetMode="External"/><Relationship Id="rId12" Type="http://schemas.openxmlformats.org/officeDocument/2006/relationships/hyperlink" Target="consultantplus://offline/ref=94E8645801F8BBF78CDADE95BE4AC627C952DE28FEC90E95691C0881945F853E6DAF685E064A3F483AF49F271D98040684A559849BB335EC3A5DF5D7YBC0L" TargetMode="External"/><Relationship Id="rId17" Type="http://schemas.openxmlformats.org/officeDocument/2006/relationships/hyperlink" Target="consultantplus://offline/ref=94E8645801F8BBF78CDAC098A8269828CC5B8223FFC703CB30410ED6CB0F836B2DEF6E0E460635426EA5DD7510925249C0F14A8799AFY3C6L" TargetMode="External"/><Relationship Id="rId25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20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E8645801F8BBF78CDADE95BE4AC627C952DE28FEC90E95691C0881945F853E6DAF685E064A3F483AF49F261A98040684A559849BB335EC3A5DF5D7YBC0L" TargetMode="External"/><Relationship Id="rId11" Type="http://schemas.openxmlformats.org/officeDocument/2006/relationships/hyperlink" Target="consultantplus://offline/ref=94E8645801F8BBF78CDADE95BE4AC627C952DE28FEC90E956A150881945F853E6DAF685E064A3F483AF49F251B98040684A559849BB335EC3A5DF5D7YBC0L" TargetMode="External"/><Relationship Id="rId24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5" Type="http://schemas.openxmlformats.org/officeDocument/2006/relationships/hyperlink" Target="consultantplus://offline/ref=94E8645801F8BBF78CDADE95BE4AC627C952DE28FEC90E956A150881945F853E6DAF685E064A3F483AF49F251E98040684A559849BB335EC3A5DF5D7YBC0L" TargetMode="External"/><Relationship Id="rId15" Type="http://schemas.openxmlformats.org/officeDocument/2006/relationships/hyperlink" Target="consultantplus://offline/ref=94E8645801F8BBF78CDADE95BE4AC627C952DE28FEC90E95691C0881945F853E6DAF685E064A3F483AF49F271D98040684A559849BB335EC3A5DF5D7YBC0L" TargetMode="External"/><Relationship Id="rId23" Type="http://schemas.openxmlformats.org/officeDocument/2006/relationships/hyperlink" Target="consultantplus://offline/ref=94E8645801F8BBF78CDAC098A8269828CC5B802DFEC703CB30410ED6CB0F836B3FEF3607440C2C493BEA9B201FY9C0L" TargetMode="External"/><Relationship Id="rId10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19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4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9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14" Type="http://schemas.openxmlformats.org/officeDocument/2006/relationships/hyperlink" Target="consultantplus://offline/ref=94E8645801F8BBF78CDADE95BE4AC627C952DE28FEC90E956A150881945F853E6DAF685E064A3F483AF49F251B98040684A559849BB335EC3A5DF5D7YBC0L" TargetMode="External"/><Relationship Id="rId22" Type="http://schemas.openxmlformats.org/officeDocument/2006/relationships/hyperlink" Target="consultantplus://offline/ref=94E8645801F8BBF78CDADE95BE4AC627C952DE28FEC909996B100881945F853E6DAF685E064A3F483AF499201B98040684A559849BB335EC3A5DF5D7YBC0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2241</Words>
  <Characters>12778</Characters>
  <Application>Microsoft Office Word</Application>
  <DocSecurity>4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Избирательная комиссия Пензенской области</dc:creator>
  <cp:lastModifiedBy>pravo58</cp:lastModifiedBy>
  <cp:revision>2</cp:revision>
  <dcterms:created xsi:type="dcterms:W3CDTF">2023-01-12T13:47:00Z</dcterms:created>
  <dcterms:modified xsi:type="dcterms:W3CDTF">2023-01-12T13:47:00Z</dcterms:modified>
</cp:coreProperties>
</file>