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textDirection w:val="lrTb"/>
            <w:noWrap w:val="false"/>
          </w:tcPr>
          <w:p>
            <w:pPr>
              <w:pStyle w:val="897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Приложение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897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к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 xml:space="preserve">постановлению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897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Избирательной комиссии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pStyle w:val="897"/>
              <w:jc w:val="center"/>
              <w:widowControl w:val="off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Пензенской области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4"/>
                <w:szCs w:val="24"/>
                <w:lang w:val="ru-RU" w:eastAsia="ru-RU"/>
              </w:rPr>
            </w:r>
          </w:p>
          <w:p>
            <w:pPr>
              <w:jc w:val="center"/>
            </w:pPr>
            <w:r>
              <w:t xml:space="preserve">от 19.06.2026 № 104/734-7</w:t>
            </w:r>
            <w:r/>
          </w:p>
        </w:tc>
      </w:tr>
    </w:tbl>
    <w:p>
      <w:pPr>
        <w:ind w:firstLine="6100"/>
        <w:jc w:val="right"/>
        <w:rPr>
          <w:b/>
          <w:bCs/>
          <w:spacing w:val="-2"/>
        </w:rPr>
      </w:pPr>
      <w:r>
        <w:t xml:space="preserve"> </w:t>
      </w: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pStyle w:val="1093"/>
        <w:jc w:val="center"/>
        <w:rPr>
          <w:b/>
          <w:bCs/>
        </w:rPr>
      </w:pPr>
      <w:r/>
      <w:hyperlink w:tooltip="#Par43" w:anchor="Par43" w:history="1">
        <w:r>
          <w:rPr>
            <w:rFonts w:ascii="Times New Roman" w:hAnsi="Times New Roman" w:cs="Times New Roman"/>
            <w:b/>
            <w:sz w:val="28"/>
            <w:szCs w:val="28"/>
          </w:rPr>
          <w:t xml:space="preserve">Порядок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территориальной избирательной комиссии с документами, представляемыми избирательными объединениями и кандидатами при проведении выборов депутатов представительного органа муниципального образования в Пензенской области</w:t>
      </w:r>
      <w:r>
        <w:rPr>
          <w:b/>
          <w:bCs/>
        </w:rPr>
      </w:r>
      <w:r>
        <w:rPr>
          <w:b/>
          <w:bCs/>
        </w:rPr>
      </w:r>
    </w:p>
    <w:p>
      <w:pPr>
        <w:pStyle w:val="1093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080"/>
        <w:ind w:right="0" w:firstLine="0"/>
        <w:tabs>
          <w:tab w:val="left" w:pos="9200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093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Выборы депутатов представительных органов муниципальных образований в Пензенской области проводятся в соответствии с Федеральным </w:t>
      </w:r>
      <w:hyperlink r:id="rId10" w:tooltip="https://login.consultant.ru/link/?req=doc&amp;base=LAW&amp;n=476456" w:history="1">
        <w:r>
          <w:rPr>
            <w:rFonts w:ascii="Times New Roman" w:hAnsi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12 июня 2002 года № 67-ФЗ «Об основны</w:t>
      </w:r>
      <w:r>
        <w:rPr>
          <w:rFonts w:ascii="Times New Roman" w:hAnsi="Times New Roman" w:cs="Times New Roman"/>
          <w:sz w:val="28"/>
          <w:szCs w:val="28"/>
        </w:rPr>
        <w:t xml:space="preserve">х гарантиях избирательных прав и права на участие в референдуме граждан Российской Федерации» (с последующими изменениями) (далее – Федеральный закон), </w:t>
      </w:r>
      <w:hyperlink r:id="rId11" w:tooltip="https://login.consultant.ru/link/?req=doc&amp;base=RLAW021&amp;n=192137" w:history="1">
        <w:r>
          <w:rPr>
            <w:rFonts w:ascii="Times New Roman" w:hAnsi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19 декабря 2025 года </w:t>
        <w:br/>
        <w:t xml:space="preserve">№ 4708-ЗПО «О выборах депутатов представительного органа муниципального образования в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 одномандатным избирательным округам» (с последующими изменениями) (далее – Закон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№ 4708-ЗПО), </w:t>
      </w:r>
      <w:hyperlink r:id="rId12" w:tooltip="https://login.consultant.ru/link/?req=doc&amp;base=RLAW021&amp;n=192138" w:history="1">
        <w:r>
          <w:rPr>
            <w:rFonts w:ascii="Times New Roman" w:hAnsi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Пензенской области от 19 декабря 2025 года </w:t>
        <w:br/>
        <w:t xml:space="preserve">№ 4709-ЗПО «О выборах депутатов представительного органа муниципального образования в Пензенской области по одномандатным избирательным ок</w:t>
      </w:r>
      <w:r>
        <w:rPr>
          <w:rFonts w:ascii="Times New Roman" w:hAnsi="Times New Roman" w:cs="Times New Roman"/>
          <w:sz w:val="28"/>
          <w:szCs w:val="28"/>
        </w:rPr>
        <w:t xml:space="preserve">ругам и по единому избирательному округу» (с последующими изменениями) (далее – Закон № 4709-ЗПО).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1.2. На заседании территориальной избирательной комиссии (далее – ТИК) необходимо утвердить календарный план мероприятий по подготовке и проведению выборов.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приема и проверки документов, представленных для уведомления о выдвижении и регистрации кандидатов, списков кандидатов, ТИК: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- принимает нормативные акты, устанавливающие перечень </w:t>
      </w:r>
      <w:r>
        <w:rPr>
          <w:rFonts w:ascii="Times New Roman" w:hAnsi="Times New Roman" w:cs="Times New Roman"/>
          <w:sz w:val="28"/>
          <w:szCs w:val="28"/>
        </w:rPr>
        <w:t xml:space="preserve">необходимых документов, формы документов, представляемых</w:t>
      </w:r>
      <w:r>
        <w:rPr>
          <w:rFonts w:ascii="Times New Roman" w:hAnsi="Times New Roman" w:cs="Times New Roman"/>
          <w:sz w:val="28"/>
          <w:szCs w:val="28"/>
        </w:rPr>
        <w:t xml:space="preserve"> кандидатами, уполномоченными представителями избирательных объединений для уведомления о выдвижении и регистрации кандидатов, списков кандидатов, для регистрации уполномоченных представителей по финансовым вопросам, доверенных лиц кандидатов;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- создает ра</w:t>
      </w:r>
      <w:r>
        <w:rPr>
          <w:rFonts w:ascii="Times New Roman" w:hAnsi="Times New Roman" w:cs="Times New Roman"/>
          <w:sz w:val="28"/>
          <w:szCs w:val="28"/>
        </w:rPr>
        <w:t xml:space="preserve">бочую группу по приему и проверке документов, представляемых кандидатами, уполномоченными представителями избирательных объединений (далее – Рабочая группа).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1.3. Все принятые документы необходимо размещать на сайте (странице) ТИК.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 xml:space="preserve">На период приема до</w:t>
      </w:r>
      <w:r>
        <w:rPr>
          <w:rFonts w:ascii="Times New Roman" w:hAnsi="Times New Roman" w:cs="Times New Roman"/>
          <w:sz w:val="28"/>
          <w:szCs w:val="28"/>
        </w:rPr>
        <w:t xml:space="preserve">кументов от кандидатов, уполномоченных представителей избирательных объединений в целях обеспечения качественной обработки принимаемых избирательных документов ТИК рекомендуется утвердить график работы членов Рабочей группы: в рабочие дни - с понедельника </w:t>
      </w:r>
      <w:r>
        <w:rPr>
          <w:rFonts w:ascii="Times New Roman" w:hAnsi="Times New Roman" w:cs="Times New Roman"/>
          <w:sz w:val="28"/>
          <w:szCs w:val="28"/>
        </w:rPr>
        <w:t xml:space="preserve">по пятницу с 09.00 до 18.00 часов (с 08.00 до 17.00 часов) и график работы отдельных членов Рабочей группы в выходные и праздничные дни.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График работы членов Рабочей группы должен быть обнародован, в том числе вывешен в здании, в котором размещена ТИК, оп</w:t>
      </w:r>
      <w:r>
        <w:rPr>
          <w:rFonts w:ascii="Times New Roman" w:hAnsi="Times New Roman" w:cs="Times New Roman"/>
          <w:sz w:val="28"/>
          <w:szCs w:val="28"/>
        </w:rPr>
        <w:t xml:space="preserve">убликован, размещен на сайте (странице) ТИК либо доведен до участников избирательного процесса иным способом.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Если день истечения срока, в который в ТИК могут быть поданы документы, приходится на выходной или нерабочий праздничный день, Рабочая группа обяз</w:t>
      </w:r>
      <w:r>
        <w:rPr>
          <w:rFonts w:ascii="Times New Roman" w:hAnsi="Times New Roman" w:cs="Times New Roman"/>
          <w:sz w:val="28"/>
          <w:szCs w:val="28"/>
        </w:rPr>
        <w:t xml:space="preserve">ана организовать работу по приему документов в этот день. ТИК может принять решение об осуществлении приема документов от кандидатов, избирательных объединений и в иные выходные дни.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1.5. По согласованию с кандидатом, уполномоченным представителем избирате</w:t>
      </w:r>
      <w:r>
        <w:rPr>
          <w:rFonts w:ascii="Times New Roman" w:hAnsi="Times New Roman" w:cs="Times New Roman"/>
          <w:sz w:val="28"/>
          <w:szCs w:val="28"/>
        </w:rPr>
        <w:t xml:space="preserve">льного объединения рекомендуется предварительно определять конкретную дату и время представления в ТИК документов. Все кандидаты, избирательные объединения должны иметь возможность указанного </w:t>
      </w:r>
      <w:r>
        <w:rPr>
          <w:rFonts w:ascii="Times New Roman" w:hAnsi="Times New Roman" w:cs="Times New Roman"/>
          <w:sz w:val="28"/>
          <w:szCs w:val="28"/>
        </w:rPr>
        <w:t xml:space="preserve">согласования на равных условиях.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1.6. В целях своевременной пров</w:t>
      </w:r>
      <w:r>
        <w:rPr>
          <w:rFonts w:ascii="Times New Roman" w:hAnsi="Times New Roman" w:cs="Times New Roman"/>
          <w:sz w:val="28"/>
          <w:szCs w:val="28"/>
        </w:rPr>
        <w:t xml:space="preserve">ерки документов ТИК рекомендуется осуществлять информирование кандидатов, уполномоченных представителей избирательных объединений об установленных законодательством сроках представления документов в ТИК и сроках их проверки. Прием документов для уведомлени</w:t>
      </w:r>
      <w:r>
        <w:rPr>
          <w:rFonts w:ascii="Times New Roman" w:hAnsi="Times New Roman" w:cs="Times New Roman"/>
          <w:sz w:val="28"/>
          <w:szCs w:val="28"/>
        </w:rPr>
        <w:t xml:space="preserve">я о выдвижении и регистрации кандидатов, списков кандидатов в последний день соответствующего периода требует дополнительной организации в связи с возможным образованием очереди.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1.7. Кандидат, уполномоченный представитель избирательного объединения, прибы</w:t>
      </w:r>
      <w:r>
        <w:rPr>
          <w:rFonts w:ascii="Times New Roman" w:hAnsi="Times New Roman" w:cs="Times New Roman"/>
          <w:sz w:val="28"/>
          <w:szCs w:val="28"/>
        </w:rPr>
        <w:t xml:space="preserve">вший в ТИК в пределах установленного законодательством срока, считаются выполнившими указанные требования о сроке сдачи документов. Время прибытия кандидата, уполномоченного представителя избирательного объединения в ТИК подлежит фиксации как время предста</w:t>
      </w:r>
      <w:r>
        <w:rPr>
          <w:rFonts w:ascii="Times New Roman" w:hAnsi="Times New Roman" w:cs="Times New Roman"/>
          <w:sz w:val="28"/>
          <w:szCs w:val="28"/>
        </w:rPr>
        <w:t xml:space="preserve">вления документов, а прием документов осуществляется членами Рабочей группы в порядке очередности, определенной по времени прибытия в ТИК.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1.8. Во избежание спорных, а также конфликтных ситуаций, связанных с доказыванием факта и времени представления или н</w:t>
      </w:r>
      <w:r>
        <w:rPr>
          <w:rFonts w:ascii="Times New Roman" w:hAnsi="Times New Roman" w:cs="Times New Roman"/>
          <w:sz w:val="28"/>
          <w:szCs w:val="28"/>
        </w:rPr>
        <w:t xml:space="preserve">епредставления кандидатами, избирательными объединениями документов, ТИК может осуществлять ауди</w:t>
      </w:r>
      <w:r>
        <w:rPr>
          <w:rFonts w:ascii="Times New Roman" w:hAnsi="Times New Roman" w:cs="Times New Roman"/>
          <w:sz w:val="28"/>
          <w:szCs w:val="28"/>
        </w:rPr>
        <w:t xml:space="preserve">о-</w:t>
      </w:r>
      <w:r>
        <w:rPr>
          <w:rFonts w:ascii="Times New Roman" w:hAnsi="Times New Roman" w:cs="Times New Roman"/>
          <w:sz w:val="28"/>
          <w:szCs w:val="28"/>
        </w:rPr>
        <w:t xml:space="preserve"> и (или) видеозапись процесса приема документов, о чем информирует кандидатов, уполномоченных представителей избирательных объединений. В случае ведения ауди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и (или) видеозаписи кандидатом, уполномоченным представителем избирательного объединения он уведомляет об этом ТИК.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1.9. Избирательное объединение обязано извещать ТИК о проведении мероприятий, связанных с выдвижением своих кандидатов (списков кандидатов</w:t>
      </w:r>
      <w:r>
        <w:rPr>
          <w:rFonts w:ascii="Times New Roman" w:hAnsi="Times New Roman" w:cs="Times New Roman"/>
          <w:sz w:val="28"/>
          <w:szCs w:val="28"/>
        </w:rPr>
        <w:t xml:space="preserve">) в депутаты, не </w:t>
      </w:r>
      <w:r>
        <w:rPr>
          <w:rFonts w:ascii="Times New Roman" w:hAnsi="Times New Roman" w:cs="Times New Roman"/>
          <w:sz w:val="28"/>
          <w:szCs w:val="28"/>
        </w:rPr>
        <w:t xml:space="preserve">позднее</w:t>
      </w:r>
      <w:r>
        <w:rPr>
          <w:rFonts w:ascii="Times New Roman" w:hAnsi="Times New Roman" w:cs="Times New Roman"/>
          <w:sz w:val="28"/>
          <w:szCs w:val="28"/>
        </w:rPr>
        <w:t xml:space="preserve"> чем за один день до дня проведения мероприятия при его проведении в пределах населенного пункта, в котором расположена ТИК, и не позднее чем за три дня до дня проведения мероприятия при его проведении за пределами указанного населе</w:t>
      </w:r>
      <w:r>
        <w:rPr>
          <w:rFonts w:ascii="Times New Roman" w:hAnsi="Times New Roman" w:cs="Times New Roman"/>
          <w:sz w:val="28"/>
          <w:szCs w:val="28"/>
        </w:rPr>
        <w:t xml:space="preserve">нного </w:t>
      </w:r>
      <w:r>
        <w:rPr>
          <w:rFonts w:ascii="Times New Roman" w:hAnsi="Times New Roman" w:cs="Times New Roman"/>
          <w:sz w:val="28"/>
          <w:szCs w:val="28"/>
        </w:rPr>
        <w:t xml:space="preserve">пункта и допускать представителей ТИК на указанные мероприятия.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1.10. Для присутствия на мероприятии ТИК может направить члена комиссии с правом решающего голоса. При направлении своих представителей на указанные мероприятия рекомендуется выдавать пи</w:t>
      </w:r>
      <w:r>
        <w:rPr>
          <w:rFonts w:ascii="Times New Roman" w:hAnsi="Times New Roman" w:cs="Times New Roman"/>
          <w:sz w:val="28"/>
          <w:szCs w:val="28"/>
        </w:rPr>
        <w:t xml:space="preserve">сьмо об участии представителя ТИК в мероприятии, проводимом избирательным объединением. Документом, подтверждающим полномочия указанных лиц, может быть удостоверение члена ТИК с правом решающего голоса.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ТИК при посещении мероприятия должен уд</w:t>
      </w:r>
      <w:r>
        <w:rPr>
          <w:rFonts w:ascii="Times New Roman" w:hAnsi="Times New Roman" w:cs="Times New Roman"/>
          <w:sz w:val="28"/>
          <w:szCs w:val="28"/>
        </w:rPr>
        <w:t xml:space="preserve">остовериться, что мероприятие состоялось, голосование по выдвижению кандидатов, списка кандидатов осуществлялось тайно, были соблюдены иные требования, предъявляемые Федеральным законом к выдвижению кандидатов, списков кандидатов, политическими партиями, и</w:t>
      </w:r>
      <w:r>
        <w:rPr>
          <w:rFonts w:ascii="Times New Roman" w:hAnsi="Times New Roman" w:cs="Times New Roman"/>
          <w:sz w:val="28"/>
          <w:szCs w:val="28"/>
        </w:rPr>
        <w:t xml:space="preserve">ными общественными объединениями. Представитель ТИК вправе осуществлять фотосъемку, видеозапись указанного мероприятия, о чем информирует его организаторов.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посещения мероприятия, связанного с выдвижением кандидата, списка кандидатов в депут</w:t>
      </w:r>
      <w:r>
        <w:rPr>
          <w:rFonts w:ascii="Times New Roman" w:hAnsi="Times New Roman" w:cs="Times New Roman"/>
          <w:sz w:val="28"/>
          <w:szCs w:val="28"/>
        </w:rPr>
        <w:t xml:space="preserve">аты представительного органа муниципального образования, представителем ТИК оформляется справка о проведении избирательным объединением указанного мероприятия.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1.11. Представление необходимых документов о выдвижении кандидата, списка кандидатов в депутаты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представительного органа муниципального образования в ТИК заканчивается не </w:t>
      </w:r>
      <w:r>
        <w:rPr>
          <w:rFonts w:ascii="Times New Roman" w:hAnsi="Times New Roman" w:cs="Times New Roman"/>
          <w:sz w:val="28"/>
          <w:szCs w:val="28"/>
        </w:rPr>
        <w:t xml:space="preserve">позднее</w:t>
      </w:r>
      <w:r>
        <w:rPr>
          <w:rFonts w:ascii="Times New Roman" w:hAnsi="Times New Roman" w:cs="Times New Roman"/>
          <w:sz w:val="28"/>
          <w:szCs w:val="28"/>
        </w:rPr>
        <w:t xml:space="preserve"> чем за 50 дней до дня голосования в 18.00 часов по местному времени.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1.12. Представление необходимых документов для регистрации кандидата, списка кандидатов в депутаты предс</w:t>
      </w:r>
      <w:r>
        <w:rPr>
          <w:rFonts w:ascii="Times New Roman" w:hAnsi="Times New Roman" w:cs="Times New Roman"/>
          <w:sz w:val="28"/>
          <w:szCs w:val="28"/>
        </w:rPr>
        <w:t xml:space="preserve">тавительного органа муниципального образования в ТИК муниципального образования заканчивается за 45 дней до дня голосования в 18.00 часов по местному времени.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jc w:val="center"/>
        <w:rPr>
          <w:rFonts w:ascii="Times New Roman" w:hAnsi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93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1093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1093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Прием и проверка документов, представляемых кандидатами,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10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избирательными объединениями для увед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омления о выдвижении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регистрации кандидатов, списков кандидатов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93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2.1. Рабочая группа осуществляет прием документов согласно перечню и формам, утвержденным постановлением ТИК.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2.2. Документы, связанные с выдвижением списка кандидатов в депутаты представит</w:t>
      </w:r>
      <w:r>
        <w:rPr>
          <w:rFonts w:ascii="Times New Roman" w:hAnsi="Times New Roman" w:cs="Times New Roman"/>
          <w:sz w:val="28"/>
          <w:szCs w:val="28"/>
        </w:rPr>
        <w:t xml:space="preserve">ельного органа муниципального образования по единому избирательному округу, включая документы на каждого кандидата из указанного списка, представляет в ТИК уполномоченный представитель избирательного объединения.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Документы, связанные с выдвижением списка к</w:t>
      </w:r>
      <w:r>
        <w:rPr>
          <w:rFonts w:ascii="Times New Roman" w:hAnsi="Times New Roman" w:cs="Times New Roman"/>
          <w:sz w:val="28"/>
          <w:szCs w:val="28"/>
        </w:rPr>
        <w:t xml:space="preserve">андидатов в депутаты представительного органа муниципального образования по одномандатным избирательным округам (документы избирательного объединения и заявления кандидатов о согласии баллотироваться), представляет в ТИК уполномоченный представитель избира</w:t>
      </w:r>
      <w:r>
        <w:rPr>
          <w:rFonts w:ascii="Times New Roman" w:hAnsi="Times New Roman" w:cs="Times New Roman"/>
          <w:sz w:val="28"/>
          <w:szCs w:val="28"/>
        </w:rPr>
        <w:t xml:space="preserve">тельного объединения.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Кандидаты, выдвинутые избирательным объединением и включенные в заверенный список кандидатов по одномандатным избирательным округам, и кандидаты, выдвинутые в порядке самовыдвижения, представляют лично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случаев, предусмотренных </w:t>
      </w:r>
      <w:r>
        <w:rPr>
          <w:rFonts w:ascii="Times New Roman" w:hAnsi="Times New Roman" w:cs="Times New Roman"/>
          <w:sz w:val="28"/>
          <w:szCs w:val="28"/>
        </w:rPr>
        <w:t xml:space="preserve">статьей 32 Закона</w:t>
      </w:r>
      <w:r>
        <w:rPr>
          <w:rFonts w:ascii="Times New Roman" w:hAnsi="Times New Roman" w:cs="Times New Roman"/>
          <w:sz w:val="28"/>
          <w:szCs w:val="28"/>
        </w:rPr>
        <w:t xml:space="preserve"> № 4708-ЗПО и </w:t>
      </w:r>
      <w:r>
        <w:rPr>
          <w:rFonts w:ascii="Times New Roman" w:hAnsi="Times New Roman" w:cs="Times New Roman"/>
          <w:sz w:val="28"/>
          <w:szCs w:val="28"/>
        </w:rPr>
        <w:t xml:space="preserve">статьей 32 </w:t>
      </w:r>
      <w:r>
        <w:rPr>
          <w:rFonts w:ascii="Times New Roman" w:hAnsi="Times New Roman" w:cs="Times New Roman"/>
          <w:sz w:val="28"/>
          <w:szCs w:val="28"/>
        </w:rPr>
        <w:t xml:space="preserve">Законом № 4709-ЗПО, с учетом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Конституционного суда Российской Федерации от 22 декабря </w:t>
      </w:r>
      <w:r>
        <w:rPr>
          <w:rFonts w:ascii="Times New Roman" w:hAnsi="Times New Roman" w:cs="Times New Roman"/>
          <w:sz w:val="28"/>
          <w:szCs w:val="28"/>
        </w:rPr>
        <w:t xml:space="preserve">2015 года № 34-П,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Пленума Верховного Суда Российской Федерации от 27 июня 2023 года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24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в Комиссию документы, связанные с выдвижением (за исключением заявления для кандидата, выдвинутого избирательным объединением по одномандатному избирательному округу).</w:t>
      </w:r>
      <w:bookmarkStart w:id="0" w:name="Par85"/>
      <w:r/>
      <w:bookmarkStart w:id="1" w:name="_GoBack"/>
      <w:r/>
      <w:bookmarkEnd w:id="0"/>
      <w:r/>
      <w:bookmarkEnd w:id="1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2.3. Подтверждение о получении документов составляется в двух экземплярах, один из кото</w:t>
      </w:r>
      <w:r>
        <w:rPr>
          <w:rFonts w:ascii="Times New Roman" w:hAnsi="Times New Roman" w:cs="Times New Roman"/>
          <w:sz w:val="28"/>
          <w:szCs w:val="28"/>
        </w:rPr>
        <w:t xml:space="preserve">рых передается лицу, представившему документы, а другой хранится в ТИК вместе с представленными документами. Все экземпляры подтверждения подписываются руководителем Рабочей группы и (или) членом Рабочей группы, а также лицом, представившим документы.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2.4.</w:t>
      </w:r>
      <w:r>
        <w:rPr>
          <w:rFonts w:ascii="Times New Roman" w:hAnsi="Times New Roman" w:cs="Times New Roman"/>
          <w:sz w:val="28"/>
          <w:szCs w:val="28"/>
        </w:rPr>
        <w:t xml:space="preserve"> В случае выявления Рабочей группой в представленных кандидатами, уполномоченными представителями избирательных </w:t>
      </w:r>
      <w:r>
        <w:rPr>
          <w:rFonts w:ascii="Times New Roman" w:hAnsi="Times New Roman" w:cs="Times New Roman"/>
          <w:sz w:val="28"/>
          <w:szCs w:val="28"/>
        </w:rPr>
        <w:t xml:space="preserve">объединений документах для уведомления о выдвижении кандидатов, списков кандидатов неполноты сведений, несоблюдения требований </w:t>
      </w:r>
      <w:hyperlink r:id="rId13" w:tooltip="https://login.consultant.ru/link/?req=doc&amp;base=RLAW021&amp;n=192137" w:history="1">
        <w:r>
          <w:rPr>
            <w:rFonts w:ascii="Times New Roman" w:hAnsi="Times New Roman" w:cs="Times New Roman"/>
            <w:sz w:val="28"/>
            <w:szCs w:val="28"/>
          </w:rPr>
          <w:t xml:space="preserve"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4708-ЗПО или </w:t>
      </w:r>
      <w:hyperlink r:id="rId14" w:tooltip="https://login.consultant.ru/link/?req=doc&amp;base=RLAW021&amp;n=192138" w:history="1">
        <w:r>
          <w:rPr>
            <w:rFonts w:ascii="Times New Roman" w:hAnsi="Times New Roman" w:cs="Times New Roman"/>
            <w:sz w:val="28"/>
            <w:szCs w:val="28"/>
          </w:rPr>
          <w:t xml:space="preserve"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4709-ЗПО в части оформления документов, отсутствия документов кандидаты, иные уполномо</w:t>
      </w:r>
      <w:r>
        <w:rPr>
          <w:rFonts w:ascii="Times New Roman" w:hAnsi="Times New Roman" w:cs="Times New Roman"/>
          <w:sz w:val="28"/>
          <w:szCs w:val="28"/>
        </w:rPr>
        <w:t xml:space="preserve">ченные кандидатом </w:t>
      </w:r>
      <w:r>
        <w:rPr>
          <w:rFonts w:ascii="Times New Roman" w:hAnsi="Times New Roman" w:cs="Times New Roman"/>
          <w:sz w:val="28"/>
          <w:szCs w:val="28"/>
        </w:rPr>
        <w:t xml:space="preserve">лица, уполномоченные представители избирательных объединений незамедлительно извещаются</w:t>
      </w:r>
      <w:r>
        <w:rPr>
          <w:rFonts w:ascii="Times New Roman" w:hAnsi="Times New Roman" w:cs="Times New Roman"/>
          <w:sz w:val="28"/>
          <w:szCs w:val="28"/>
        </w:rPr>
        <w:t xml:space="preserve"> о выявленных недостатках.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2.5. ТИК в течение трех дней после дня приема документов по выдвижению списка кандидатов по единому избирательному округу, с</w:t>
      </w:r>
      <w:r>
        <w:rPr>
          <w:rFonts w:ascii="Times New Roman" w:hAnsi="Times New Roman" w:cs="Times New Roman"/>
          <w:sz w:val="28"/>
          <w:szCs w:val="28"/>
        </w:rPr>
        <w:t xml:space="preserve">писка кандидатов по одномандатным избирательным округам принимает решение о его заверении. Рекомендуется письменно извещать избирательные объединения о времени и дате планируемых заседаний Комиссии по рассмотрению вопросов о </w:t>
      </w:r>
      <w:r>
        <w:rPr>
          <w:rFonts w:ascii="Times New Roman" w:hAnsi="Times New Roman" w:cs="Times New Roman"/>
          <w:sz w:val="28"/>
          <w:szCs w:val="28"/>
        </w:rPr>
        <w:t xml:space="preserve">заверении списка</w:t>
      </w:r>
      <w:r>
        <w:rPr>
          <w:rFonts w:ascii="Times New Roman" w:hAnsi="Times New Roman" w:cs="Times New Roman"/>
          <w:sz w:val="28"/>
          <w:szCs w:val="28"/>
        </w:rPr>
        <w:t xml:space="preserve"> кандидатов по </w:t>
      </w:r>
      <w:r>
        <w:rPr>
          <w:rFonts w:ascii="Times New Roman" w:hAnsi="Times New Roman" w:cs="Times New Roman"/>
          <w:sz w:val="28"/>
          <w:szCs w:val="28"/>
        </w:rPr>
        <w:t xml:space="preserve">единому избирательному округу, списка кандидатов по одномандатным избирательным округам.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Решение ТИК о </w:t>
      </w:r>
      <w:r>
        <w:rPr>
          <w:rFonts w:ascii="Times New Roman" w:hAnsi="Times New Roman" w:cs="Times New Roman"/>
          <w:sz w:val="28"/>
          <w:szCs w:val="28"/>
        </w:rPr>
        <w:t xml:space="preserve">заверении списка</w:t>
      </w:r>
      <w:r>
        <w:rPr>
          <w:rFonts w:ascii="Times New Roman" w:hAnsi="Times New Roman" w:cs="Times New Roman"/>
          <w:sz w:val="28"/>
          <w:szCs w:val="28"/>
        </w:rPr>
        <w:t xml:space="preserve"> кандидатов, списка кандидатов по одномандатным избирательным округам с копией заверенного списка либо решение об отказе</w:t>
      </w:r>
      <w:r>
        <w:rPr>
          <w:rStyle w:val="1062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в заверении списка кандидатов выдается уполномоченному представителю избирательного объединения в течение одних суток с момента принятия соответствующего решения.</w:t>
      </w:r>
      <w:bookmarkStart w:id="2" w:name="Par95"/>
      <w:r/>
      <w:bookmarkEnd w:id="2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2.6. При выявлении неполноты сведений о кандидатах в депутаты представительного органа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ипального образования, отсутствия каких-либо документов, представление которых в ТИК для уведомления о выдвижении кандидата (кандидатов), списка кандидатов и их регистрации предусмотрено </w:t>
      </w:r>
      <w:hyperlink r:id="rId15" w:tooltip="https://login.consultant.ru/link/?req=doc&amp;base=RLAW021&amp;n=192137" w:history="1">
        <w:r>
          <w:rPr>
            <w:rFonts w:ascii="Times New Roman" w:hAnsi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4708-ЗПО или </w:t>
      </w:r>
      <w:hyperlink r:id="rId16" w:tooltip="https://login.consultant.ru/link/?req=doc&amp;base=RLAW021&amp;n=192138" w:history="1">
        <w:r>
          <w:rPr>
            <w:rFonts w:ascii="Times New Roman" w:hAnsi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4709-ЗПО, или несоблюдения требований, установленных </w:t>
      </w:r>
      <w:hyperlink r:id="rId17" w:tooltip="https://login.consultant.ru/link/?req=doc&amp;base=RLAW021&amp;n=192137" w:history="1">
        <w:r>
          <w:rPr>
            <w:rFonts w:ascii="Times New Roman" w:hAnsi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4708-ЗПО или </w:t>
      </w:r>
      <w:hyperlink r:id="rId18" w:tooltip="https://login.consultant.ru/link/?req=doc&amp;base=RLAW021&amp;n=192137" w:history="1">
        <w:r>
          <w:rPr>
            <w:rFonts w:ascii="Times New Roman" w:hAnsi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4709-ЗПО, к оформлению документов ТИК не </w:t>
      </w:r>
      <w:r>
        <w:rPr>
          <w:rFonts w:ascii="Times New Roman" w:hAnsi="Times New Roman" w:cs="Times New Roman"/>
          <w:sz w:val="28"/>
          <w:szCs w:val="28"/>
        </w:rPr>
        <w:t xml:space="preserve">позднее</w:t>
      </w:r>
      <w:r>
        <w:rPr>
          <w:rFonts w:ascii="Times New Roman" w:hAnsi="Times New Roman" w:cs="Times New Roman"/>
          <w:sz w:val="28"/>
          <w:szCs w:val="28"/>
        </w:rPr>
        <w:t xml:space="preserve"> чем за три дня до дня заседания ТИК, на </w:t>
      </w:r>
      <w:r>
        <w:rPr>
          <w:rFonts w:ascii="Times New Roman" w:hAnsi="Times New Roman" w:cs="Times New Roman"/>
          <w:sz w:val="28"/>
          <w:szCs w:val="28"/>
        </w:rPr>
        <w:t xml:space="preserve">котором должен рассматриваться вопрос о регистрации кандидата</w:t>
      </w:r>
      <w:r>
        <w:rPr>
          <w:rFonts w:ascii="Times New Roman" w:hAnsi="Times New Roman" w:cs="Times New Roman"/>
          <w:sz w:val="28"/>
          <w:szCs w:val="28"/>
        </w:rPr>
        <w:t xml:space="preserve"> в депутаты представительного органа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образования, списка кандидатов в депутаты представительного органа муниципального образования, извещает об этом кандидата в депутаты представительного органа муниципального образования, избирательное объе</w:t>
      </w:r>
      <w:r>
        <w:rPr>
          <w:rFonts w:ascii="Times New Roman" w:hAnsi="Times New Roman" w:cs="Times New Roman"/>
          <w:sz w:val="28"/>
          <w:szCs w:val="28"/>
        </w:rPr>
        <w:t xml:space="preserve">динение.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Кандидат вправе вносить уточнения и дополнения в документы, содержащие сведения о нем, а избирательное объединение - в документы, содержащие сведения о выдвинутом им кандидате (выдвинутых им кандидатах), в том числе в составе списка кандидатов,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позднее</w:t>
      </w:r>
      <w:r>
        <w:rPr>
          <w:rFonts w:ascii="Times New Roman" w:hAnsi="Times New Roman" w:cs="Times New Roman"/>
          <w:sz w:val="28"/>
          <w:szCs w:val="28"/>
        </w:rPr>
        <w:t xml:space="preserve"> чем за один день до дня заседания ТИК, на котором должен рассматриваться вопрос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кандидата, списка кандидатов (часть 2 статьи</w:t>
      </w:r>
      <w:r>
        <w:rPr>
          <w:rFonts w:ascii="Times New Roman" w:hAnsi="Times New Roman" w:cs="Times New Roman"/>
          <w:sz w:val="28"/>
          <w:szCs w:val="28"/>
        </w:rPr>
        <w:t xml:space="preserve"> 38 Закона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4708-ЗПО, </w:t>
      </w:r>
      <w:r>
        <w:rPr>
          <w:rFonts w:ascii="Times New Roman" w:hAnsi="Times New Roman" w:cs="Times New Roman"/>
          <w:sz w:val="28"/>
          <w:szCs w:val="28"/>
        </w:rPr>
        <w:t xml:space="preserve">ч</w:t>
      </w:r>
      <w:r>
        <w:rPr>
          <w:rFonts w:ascii="Times New Roman" w:hAnsi="Times New Roman" w:cs="Times New Roman"/>
          <w:sz w:val="28"/>
          <w:szCs w:val="28"/>
        </w:rPr>
        <w:t xml:space="preserve">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bookmarkStart w:id="3" w:name="Par101"/>
      <w:r/>
      <w:bookmarkEnd w:id="3"/>
      <w:r>
        <w:rPr>
          <w:rFonts w:ascii="Times New Roman" w:hAnsi="Times New Roman" w:cs="Times New Roman"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sz w:val="28"/>
          <w:szCs w:val="28"/>
        </w:rPr>
        <w:t xml:space="preserve"> 39 Закона № 4709-ЗПО).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2.7. ТИК во взаимодействии с Рабочей группой, контрольно-ревизионной службой </w:t>
      </w:r>
      <w:r>
        <w:rPr>
          <w:rFonts w:ascii="Times New Roman" w:hAnsi="Times New Roman" w:cs="Times New Roman"/>
          <w:sz w:val="28"/>
          <w:szCs w:val="28"/>
        </w:rPr>
        <w:t xml:space="preserve"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ТИК</w:t>
      </w:r>
      <w:r>
        <w:rPr>
          <w:rFonts w:ascii="Times New Roman" w:hAnsi="Times New Roman" w:cs="Times New Roman"/>
          <w:sz w:val="28"/>
          <w:szCs w:val="28"/>
        </w:rPr>
        <w:t xml:space="preserve"> готовит</w:t>
      </w:r>
      <w:r>
        <w:rPr>
          <w:rFonts w:ascii="Times New Roman" w:hAnsi="Times New Roman" w:cs="Times New Roman"/>
          <w:sz w:val="28"/>
          <w:szCs w:val="28"/>
        </w:rPr>
        <w:t xml:space="preserve"> проекты писем в соответствующие органы с представлениями о проведении проверок достоверности сведений о кандидатах</w:t>
      </w:r>
      <w:r>
        <w:rPr>
          <w:rStyle w:val="1062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, включенных в список кандидатов по единому избирательному округу, кандидатах, выдвинутых по одномандатным избирательным округам.</w:t>
      </w:r>
      <w:bookmarkStart w:id="4" w:name="Par105"/>
      <w:r/>
      <w:bookmarkEnd w:id="4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>
        <w:rPr>
          <w:rFonts w:ascii="Times New Roman" w:hAnsi="Times New Roman" w:cs="Times New Roman"/>
          <w:sz w:val="28"/>
          <w:szCs w:val="28"/>
        </w:rPr>
        <w:t xml:space="preserve">ТИК в</w:t>
      </w:r>
      <w:r>
        <w:rPr>
          <w:rFonts w:ascii="Times New Roman" w:hAnsi="Times New Roman" w:cs="Times New Roman"/>
          <w:sz w:val="28"/>
          <w:szCs w:val="28"/>
        </w:rPr>
        <w:t xml:space="preserve"> течение десяти дней со дня представления документов для регистрации кандидата, списка кандидатов обязана проверить соответствие порядка выдвижения кандидата, списка кандидатов требованиям закона, включая требования Федерального </w:t>
      </w:r>
      <w:hyperlink r:id="rId19" w:tooltip="https://login.consultant.ru/link/?req=doc&amp;base=LAW&amp;n=452899" w:history="1">
        <w:r>
          <w:rPr>
            <w:rFonts w:ascii="Times New Roman" w:hAnsi="Times New Roman" w:cs="Times New Roman"/>
            <w:sz w:val="28"/>
            <w:szCs w:val="28"/>
          </w:rPr>
          <w:t xml:space="preserve"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11 июля 2001 года № 95-ФЗ «О политических партиях» о соблюдении устава политической партии при выдвижении кандидатов, списков кандидатов, и принять решение о регистрации кандидата, списка кандидатов </w:t>
      </w:r>
      <w:r>
        <w:rPr>
          <w:rFonts w:ascii="Times New Roman" w:hAnsi="Times New Roman" w:cs="Times New Roman"/>
          <w:sz w:val="28"/>
          <w:szCs w:val="28"/>
        </w:rPr>
        <w:t xml:space="preserve">либо об отказе в регистрации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2.9. Кандидату в депутаты представительного органа муниципального образования, уполномоченному представителю избирательного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позднее</w:t>
      </w:r>
      <w:r>
        <w:rPr>
          <w:rFonts w:ascii="Times New Roman" w:hAnsi="Times New Roman" w:cs="Times New Roman"/>
          <w:sz w:val="28"/>
          <w:szCs w:val="28"/>
        </w:rPr>
        <w:t xml:space="preserve"> чем за двое суток до заседания ТИК, на котором должен рассматриваться вопрос о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этого кандидата в депутаты представительного органа муниципального образования, списка кандидатов, передается копия итогового протокола проверки подписных листов</w:t>
      </w:r>
      <w:r>
        <w:rPr>
          <w:rStyle w:val="1062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2.10. По результатам работы членами Рабочей группы готовятся и вносятся на расс</w:t>
      </w:r>
      <w:r>
        <w:rPr>
          <w:rFonts w:ascii="Times New Roman" w:hAnsi="Times New Roman" w:cs="Times New Roman"/>
          <w:sz w:val="28"/>
          <w:szCs w:val="28"/>
        </w:rPr>
        <w:t xml:space="preserve">мотрение ТИК проекты постановлений </w:t>
      </w:r>
      <w:r>
        <w:rPr>
          <w:rFonts w:ascii="Times New Roman" w:hAnsi="Times New Roman" w:cs="Times New Roman"/>
          <w:sz w:val="28"/>
          <w:szCs w:val="28"/>
        </w:rPr>
        <w:t xml:space="preserve">о регистрации кандидата, списка кандидатов либо об отказе</w:t>
      </w:r>
      <w:r>
        <w:rPr>
          <w:rStyle w:val="1062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 xml:space="preserve"> в регистрации кандидата, списка кандидатов по основаниям, предусмотренным </w:t>
      </w:r>
      <w:hyperlink r:id="rId20" w:tooltip="https://login.consultant.ru/link/?req=doc&amp;base=RLAW021&amp;n=192137" w:history="1">
        <w:r>
          <w:rPr>
            <w:rFonts w:ascii="Times New Roman" w:hAnsi="Times New Roman" w:cs="Times New Roman"/>
            <w:sz w:val="28"/>
            <w:szCs w:val="28"/>
          </w:rPr>
          <w:t xml:space="preserve">Зак</w:t>
        </w:r>
        <w:r>
          <w:rPr>
            <w:rFonts w:ascii="Times New Roman" w:hAnsi="Times New Roman" w:cs="Times New Roman"/>
            <w:sz w:val="28"/>
            <w:szCs w:val="28"/>
          </w:rPr>
          <w:t xml:space="preserve">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4708</w:t>
      </w:r>
      <w:r>
        <w:rPr>
          <w:rFonts w:ascii="Times New Roman" w:hAnsi="Times New Roman" w:cs="Times New Roman"/>
          <w:sz w:val="28"/>
          <w:szCs w:val="28"/>
        </w:rPr>
        <w:t xml:space="preserve">-ЗПО или </w:t>
      </w:r>
      <w:hyperlink r:id="rId21" w:tooltip="https://login.consultant.ru/link/?req=doc&amp;base=RLAW021&amp;n=192138" w:history="1">
        <w:r>
          <w:rPr>
            <w:rFonts w:ascii="Times New Roman" w:hAnsi="Times New Roman" w:cs="Times New Roman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4709</w:t>
      </w:r>
      <w:r>
        <w:rPr>
          <w:rFonts w:ascii="Times New Roman" w:hAnsi="Times New Roman" w:cs="Times New Roman"/>
          <w:sz w:val="28"/>
          <w:szCs w:val="28"/>
        </w:rPr>
        <w:t xml:space="preserve">-ЗПО. Рекомендуется письменно извещать кандидатов, избирательные объединения о времени и дате планируемых заседаний комиссии по рассмотрению </w:t>
      </w:r>
      <w:r>
        <w:rPr>
          <w:rFonts w:ascii="Times New Roman" w:hAnsi="Times New Roman" w:cs="Times New Roman"/>
          <w:sz w:val="28"/>
          <w:szCs w:val="28"/>
        </w:rPr>
        <w:t xml:space="preserve">вопросов о регистрации кандидата, списка кандидатов.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2.11. При регистрации кандидата, выдвинутого избирательным объединением, в решении ТИК указывается, что кандидат выдвинут избирательным объединением, а также наименование этого избирательного объединения</w:t>
      </w:r>
      <w:r>
        <w:rPr>
          <w:rFonts w:ascii="Times New Roman" w:hAnsi="Times New Roman" w:cs="Times New Roman"/>
          <w:sz w:val="28"/>
          <w:szCs w:val="28"/>
        </w:rPr>
        <w:t xml:space="preserve">. При одновременной регистрации кандидата в одномандатном избирательном округе и в составе списка кандидатов в решении ТИК указывается, что кандидат зарегистрирован также в составе списка кандидатов.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2.12. В случае отказа в регистрации кандидата, списка ка</w:t>
      </w:r>
      <w:r>
        <w:rPr>
          <w:rFonts w:ascii="Times New Roman" w:hAnsi="Times New Roman" w:cs="Times New Roman"/>
          <w:sz w:val="28"/>
          <w:szCs w:val="28"/>
        </w:rPr>
        <w:t xml:space="preserve">ндидатов, исключения кандидата из списка кандидатов ТИК </w:t>
      </w:r>
      <w:r>
        <w:rPr>
          <w:rFonts w:ascii="Times New Roman" w:hAnsi="Times New Roman" w:cs="Times New Roman"/>
          <w:sz w:val="28"/>
          <w:szCs w:val="28"/>
        </w:rPr>
        <w:t xml:space="preserve">обязана</w:t>
      </w:r>
      <w:r>
        <w:rPr>
          <w:rFonts w:ascii="Times New Roman" w:hAnsi="Times New Roman" w:cs="Times New Roman"/>
          <w:sz w:val="28"/>
          <w:szCs w:val="28"/>
        </w:rPr>
        <w:t xml:space="preserve"> принять мотивированное решение и в течение одних суток с момента его принятия </w:t>
      </w:r>
      <w:r>
        <w:rPr>
          <w:rFonts w:ascii="Times New Roman" w:hAnsi="Times New Roman" w:cs="Times New Roman"/>
          <w:sz w:val="28"/>
          <w:szCs w:val="28"/>
        </w:rPr>
        <w:t xml:space="preserve">выдать кандидату, уполномоченному представителю избирательного объединения, выдвинувшего кандидата, список кандида</w:t>
      </w:r>
      <w:r>
        <w:rPr>
          <w:rFonts w:ascii="Times New Roman" w:hAnsi="Times New Roman" w:cs="Times New Roman"/>
          <w:sz w:val="28"/>
          <w:szCs w:val="28"/>
        </w:rPr>
        <w:t xml:space="preserve">тов, копию соответствующего решения с изложением оснований отказа, исключения кандидата из списка кандидатов.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3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2.13.</w:t>
      </w:r>
      <w:r>
        <w:rPr>
          <w:rFonts w:ascii="Times New Roman" w:hAnsi="Times New Roman" w:cs="Times New Roman"/>
          <w:sz w:val="28"/>
          <w:szCs w:val="28"/>
        </w:rPr>
        <w:t xml:space="preserve"> В случае отказа в регистрации кандидата, списка кандидатов повторное выдвижение кандидата, списка кандидатов на тех же выборах возможно с со</w:t>
      </w:r>
      <w:r>
        <w:rPr>
          <w:rFonts w:ascii="Times New Roman" w:hAnsi="Times New Roman" w:cs="Times New Roman"/>
          <w:sz w:val="28"/>
          <w:szCs w:val="28"/>
        </w:rPr>
        <w:t xml:space="preserve">блюдением установленных законом порядка и сроков их выдвижения.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604050402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60"/>
        <w:ind w:firstLine="567"/>
        <w:jc w:val="both"/>
        <w:rPr>
          <w:sz w:val="18"/>
          <w:szCs w:val="18"/>
        </w:rPr>
      </w:pPr>
      <w:r>
        <w:rPr>
          <w:rStyle w:val="1062"/>
          <w:sz w:val="18"/>
          <w:szCs w:val="18"/>
        </w:rPr>
        <w:footnoteRef/>
      </w:r>
      <w:r>
        <w:rPr>
          <w:sz w:val="18"/>
          <w:szCs w:val="18"/>
        </w:rPr>
        <w:t xml:space="preserve"> Основания для отказа в </w:t>
      </w:r>
      <w:r>
        <w:rPr>
          <w:sz w:val="18"/>
          <w:szCs w:val="18"/>
        </w:rPr>
        <w:t xml:space="preserve">заверении списка</w:t>
      </w:r>
      <w:r>
        <w:rPr>
          <w:sz w:val="18"/>
          <w:szCs w:val="18"/>
        </w:rPr>
        <w:t xml:space="preserve"> кандидатов, списка кандидатов по одномандатным избирательным округам установлены соответственно </w:t>
      </w:r>
      <w:hyperlink r:id="rId1" w:tooltip="https://login.consultant.ru/link/?req=doc&amp;base=RLAW021&amp;n=192137&amp;dst=102107" w:history="1">
        <w:r>
          <w:rPr>
            <w:sz w:val="18"/>
            <w:szCs w:val="18"/>
          </w:rPr>
          <w:t xml:space="preserve">частью 7 статьи 35</w:t>
        </w:r>
      </w:hyperlink>
      <w:r>
        <w:rPr>
          <w:sz w:val="18"/>
          <w:szCs w:val="18"/>
        </w:rPr>
        <w:t xml:space="preserve"> Закона № 47</w:t>
      </w:r>
      <w:r>
        <w:rPr>
          <w:sz w:val="18"/>
          <w:szCs w:val="18"/>
        </w:rPr>
        <w:t xml:space="preserve">08-ЗПО, </w:t>
      </w:r>
      <w:r>
        <w:rPr>
          <w:sz w:val="18"/>
          <w:szCs w:val="18"/>
        </w:rPr>
        <w:t xml:space="preserve">частью 7 статьи 35 и </w:t>
      </w:r>
      <w:r>
        <w:rPr>
          <w:sz w:val="18"/>
          <w:szCs w:val="18"/>
        </w:rPr>
        <w:t xml:space="preserve">частью 9 статьи 36 Закона № 4709-ЗПО.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">
    <w:p>
      <w:pPr>
        <w:pStyle w:val="1060"/>
        <w:ind w:firstLine="567"/>
        <w:jc w:val="both"/>
        <w:rPr>
          <w:sz w:val="16"/>
          <w:szCs w:val="16"/>
        </w:rPr>
      </w:pPr>
      <w:r>
        <w:rPr>
          <w:rStyle w:val="1062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 соответствии </w:t>
      </w:r>
      <w:r>
        <w:rPr>
          <w:sz w:val="18"/>
          <w:szCs w:val="18"/>
        </w:rPr>
        <w:t xml:space="preserve">с Федеральным </w:t>
      </w:r>
      <w:hyperlink r:id="rId2" w:tooltip="https://login.consultant.ru/link/?req=doc&amp;base=RLAW021&amp;n=192138" w:history="1">
        <w:r>
          <w:rPr>
            <w:sz w:val="18"/>
            <w:szCs w:val="18"/>
          </w:rPr>
          <w:t xml:space="preserve">законом</w:t>
        </w:r>
      </w:hyperlink>
      <w:r>
        <w:rPr>
          <w:sz w:val="18"/>
          <w:szCs w:val="18"/>
        </w:rPr>
        <w:t xml:space="preserve"> № 67-ФЗ избирательная комиссия, организующая подготовку и проведение выборов в органы местного самоуправления, обращается с представлением о проверке достов</w:t>
      </w:r>
      <w:r>
        <w:rPr>
          <w:sz w:val="18"/>
          <w:szCs w:val="18"/>
        </w:rPr>
        <w:t xml:space="preserve">ерности сведений о кандидатах в депутаты представительного органа муниципального образования, представляемых в соответствии с </w:t>
      </w:r>
      <w:hyperlink r:id="rId3" w:tooltip="https://login.consultant.ru/link/?req=doc&amp;base=RLAW021&amp;n=192137&amp;dst=101900" w:history="1">
        <w:r>
          <w:rPr>
            <w:sz w:val="18"/>
            <w:szCs w:val="18"/>
          </w:rPr>
          <w:t xml:space="preserve">частями 2</w:t>
        </w:r>
      </w:hyperlink>
      <w:r>
        <w:rPr>
          <w:sz w:val="18"/>
          <w:szCs w:val="18"/>
        </w:rPr>
        <w:t xml:space="preserve">, </w:t>
      </w:r>
      <w:hyperlink r:id="rId4" w:tooltip="https://login.consultant.ru/link/?req=doc&amp;base=RLAW021&amp;n=192137&amp;dst=101711" w:history="1">
        <w:r>
          <w:rPr>
            <w:sz w:val="18"/>
            <w:szCs w:val="18"/>
          </w:rPr>
          <w:t xml:space="preserve">3</w:t>
        </w:r>
      </w:hyperlink>
      <w:r>
        <w:rPr>
          <w:sz w:val="18"/>
          <w:szCs w:val="18"/>
        </w:rPr>
        <w:t xml:space="preserve"> и </w:t>
      </w:r>
      <w:hyperlink r:id="rId5" w:tooltip="https://login.consultant.ru/link/?req=doc&amp;base=RLAW021&amp;n=192137&amp;dst=101905" w:history="1">
        <w:r>
          <w:rPr>
            <w:sz w:val="18"/>
            <w:szCs w:val="18"/>
          </w:rPr>
          <w:t xml:space="preserve">5 статьи 32</w:t>
        </w:r>
      </w:hyperlink>
      <w:r>
        <w:rPr>
          <w:sz w:val="18"/>
          <w:szCs w:val="18"/>
        </w:rPr>
        <w:t xml:space="preserve"> Закона № </w:t>
      </w:r>
      <w:r>
        <w:rPr>
          <w:sz w:val="18"/>
          <w:szCs w:val="18"/>
        </w:rPr>
        <w:t xml:space="preserve">4708</w:t>
      </w:r>
      <w:r>
        <w:rPr>
          <w:sz w:val="18"/>
          <w:szCs w:val="18"/>
        </w:rPr>
        <w:t xml:space="preserve">-ЗПО, </w:t>
      </w:r>
      <w:hyperlink r:id="rId6" w:tooltip="https://login.consultant.ru/link/?req=doc&amp;base=RLAW021&amp;n=192138&amp;dst=102179" w:history="1">
        <w:r>
          <w:rPr>
            <w:sz w:val="18"/>
            <w:szCs w:val="18"/>
          </w:rPr>
          <w:t xml:space="preserve">частями 2</w:t>
        </w:r>
      </w:hyperlink>
      <w:r>
        <w:rPr>
          <w:sz w:val="18"/>
          <w:szCs w:val="18"/>
        </w:rPr>
        <w:t xml:space="preserve">, </w:t>
      </w:r>
      <w:hyperlink r:id="rId7" w:tooltip="https://login.consultant.ru/link/?req=doc&amp;base=RLAW021&amp;n=192138&amp;dst=101966" w:history="1">
        <w:r>
          <w:rPr>
            <w:sz w:val="18"/>
            <w:szCs w:val="18"/>
          </w:rPr>
          <w:t xml:space="preserve">3</w:t>
        </w:r>
      </w:hyperlink>
      <w:r>
        <w:rPr>
          <w:sz w:val="18"/>
          <w:szCs w:val="18"/>
        </w:rPr>
        <w:t xml:space="preserve"> и </w:t>
      </w:r>
      <w:hyperlink r:id="rId8" w:tooltip="https://login.consultant.ru/link/?req=doc&amp;base=RLAW021&amp;n=192138&amp;dst=102184" w:history="1">
        <w:r>
          <w:rPr>
            <w:sz w:val="18"/>
            <w:szCs w:val="18"/>
          </w:rPr>
          <w:t xml:space="preserve">5 статьи 3</w:t>
        </w:r>
        <w:r>
          <w:rPr>
            <w:sz w:val="18"/>
            <w:szCs w:val="18"/>
          </w:rPr>
          <w:t xml:space="preserve">2</w:t>
        </w:r>
      </w:hyperlink>
      <w:r>
        <w:rPr>
          <w:sz w:val="18"/>
          <w:szCs w:val="18"/>
        </w:rPr>
        <w:t xml:space="preserve"> Закона № 4709</w:t>
      </w:r>
      <w:r>
        <w:rPr>
          <w:sz w:val="18"/>
          <w:szCs w:val="18"/>
        </w:rPr>
        <w:t xml:space="preserve">-ЗПО, в соответствующие</w:t>
      </w:r>
      <w:r>
        <w:rPr>
          <w:sz w:val="18"/>
          <w:szCs w:val="18"/>
        </w:rPr>
        <w:t xml:space="preserve"> органы, которые обязаны сообщить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о результатах проверки сведений, представляемых в соответствии с </w:t>
      </w:r>
      <w:hyperlink r:id="rId9" w:tooltip="https://login.consultant.ru/link/?req=doc&amp;base=RLAW021&amp;n=192137&amp;dst=101900" w:history="1">
        <w:r>
          <w:rPr>
            <w:sz w:val="18"/>
            <w:szCs w:val="18"/>
          </w:rPr>
          <w:t xml:space="preserve">частями 2</w:t>
        </w:r>
      </w:hyperlink>
      <w:r>
        <w:rPr>
          <w:sz w:val="18"/>
          <w:szCs w:val="18"/>
        </w:rPr>
        <w:t xml:space="preserve"> и </w:t>
      </w:r>
      <w:hyperlink r:id="rId10" w:tooltip="https://login.consultant.ru/link/?req=doc&amp;base=RLAW021&amp;n=192137&amp;dst=101711" w:history="1">
        <w:r>
          <w:rPr>
            <w:sz w:val="18"/>
            <w:szCs w:val="18"/>
          </w:rPr>
          <w:t xml:space="preserve">3</w:t>
        </w:r>
        <w:r>
          <w:rPr>
            <w:sz w:val="18"/>
            <w:szCs w:val="18"/>
          </w:rPr>
          <w:t xml:space="preserve"> статьи 32</w:t>
        </w:r>
      </w:hyperlink>
      <w:r>
        <w:rPr>
          <w:sz w:val="18"/>
          <w:szCs w:val="18"/>
        </w:rPr>
        <w:t xml:space="preserve"> Закона № </w:t>
      </w:r>
      <w:r>
        <w:rPr>
          <w:sz w:val="18"/>
          <w:szCs w:val="18"/>
        </w:rPr>
        <w:t xml:space="preserve">4708</w:t>
      </w:r>
      <w:r>
        <w:rPr>
          <w:sz w:val="18"/>
          <w:szCs w:val="18"/>
        </w:rPr>
        <w:t xml:space="preserve">-ЗПО и </w:t>
      </w:r>
      <w:hyperlink r:id="rId11" w:tooltip="https://login.consultant.ru/link/?req=doc&amp;base=RLAW021&amp;n=192138&amp;dst=102179" w:history="1">
        <w:r>
          <w:rPr>
            <w:sz w:val="18"/>
            <w:szCs w:val="18"/>
          </w:rPr>
          <w:t xml:space="preserve">частями 2</w:t>
        </w:r>
      </w:hyperlink>
      <w:r>
        <w:rPr>
          <w:sz w:val="18"/>
          <w:szCs w:val="18"/>
        </w:rPr>
        <w:t xml:space="preserve"> и </w:t>
      </w:r>
      <w:hyperlink r:id="rId12" w:tooltip="https://login.consultant.ru/link/?req=doc&amp;base=RLAW021&amp;n=192138&amp;dst=101966" w:history="1">
        <w:r>
          <w:rPr>
            <w:sz w:val="18"/>
            <w:szCs w:val="18"/>
          </w:rPr>
          <w:t xml:space="preserve">3</w:t>
        </w:r>
        <w:r>
          <w:rPr>
            <w:sz w:val="18"/>
            <w:szCs w:val="18"/>
          </w:rPr>
          <w:t xml:space="preserve"> ста</w:t>
        </w:r>
        <w:r>
          <w:rPr>
            <w:sz w:val="18"/>
            <w:szCs w:val="18"/>
          </w:rPr>
          <w:t xml:space="preserve">тьи 3</w:t>
        </w:r>
        <w:r>
          <w:rPr>
            <w:sz w:val="18"/>
            <w:szCs w:val="18"/>
          </w:rPr>
          <w:t xml:space="preserve">2</w:t>
        </w:r>
      </w:hyperlink>
      <w:r>
        <w:rPr>
          <w:sz w:val="18"/>
          <w:szCs w:val="18"/>
        </w:rPr>
        <w:t xml:space="preserve"> Закона № </w:t>
      </w:r>
      <w:r>
        <w:rPr>
          <w:sz w:val="18"/>
          <w:szCs w:val="18"/>
        </w:rPr>
        <w:t xml:space="preserve">4709</w:t>
      </w:r>
      <w:r>
        <w:rPr>
          <w:sz w:val="18"/>
          <w:szCs w:val="18"/>
        </w:rPr>
        <w:t xml:space="preserve">-ЗПО, в течение десяти дней, а сведений, представляемых в соответствии с </w:t>
      </w:r>
      <w:hyperlink r:id="rId13" w:tooltip="https://login.consultant.ru/link/?req=doc&amp;base=RLAW021&amp;n=192137&amp;dst=101905" w:history="1">
        <w:r>
          <w:rPr>
            <w:sz w:val="18"/>
            <w:szCs w:val="18"/>
          </w:rPr>
          <w:t xml:space="preserve">частью 5 статьи 32</w:t>
        </w:r>
      </w:hyperlink>
      <w:r>
        <w:rPr>
          <w:sz w:val="18"/>
          <w:szCs w:val="18"/>
        </w:rPr>
        <w:t xml:space="preserve"> Закона № </w:t>
      </w:r>
      <w:r>
        <w:rPr>
          <w:sz w:val="18"/>
          <w:szCs w:val="18"/>
        </w:rPr>
        <w:t xml:space="preserve">4708</w:t>
      </w:r>
      <w:r>
        <w:rPr>
          <w:sz w:val="18"/>
          <w:szCs w:val="18"/>
        </w:rPr>
        <w:t xml:space="preserve">-ЗПО и </w:t>
      </w:r>
      <w:hyperlink r:id="rId14" w:tooltip="https://login.consultant.ru/link/?req=doc&amp;base=RLAW021&amp;n=192138&amp;dst=102184" w:history="1">
        <w:r>
          <w:rPr>
            <w:sz w:val="18"/>
            <w:szCs w:val="18"/>
          </w:rPr>
          <w:t xml:space="preserve">частью 5 статьи 3</w:t>
        </w:r>
        <w:r>
          <w:rPr>
            <w:sz w:val="18"/>
            <w:szCs w:val="18"/>
          </w:rPr>
          <w:t xml:space="preserve">2</w:t>
        </w:r>
      </w:hyperlink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Закона № </w:t>
      </w:r>
      <w:r>
        <w:rPr>
          <w:sz w:val="18"/>
          <w:szCs w:val="18"/>
        </w:rPr>
        <w:t xml:space="preserve">4709</w:t>
      </w:r>
      <w:r>
        <w:rPr>
          <w:sz w:val="18"/>
          <w:szCs w:val="18"/>
        </w:rPr>
        <w:t xml:space="preserve">-ЗПО, - в течение 20 дней.</w:t>
      </w:r>
      <w:r>
        <w:rPr>
          <w:sz w:val="18"/>
          <w:szCs w:val="18"/>
        </w:rPr>
        <w:t xml:space="preserve"> Если указанное представление поступило за десять и менее дней до дня голосования, соответствующие органы должны сообщить о результатах провер</w:t>
      </w:r>
      <w:r>
        <w:rPr>
          <w:sz w:val="18"/>
          <w:szCs w:val="18"/>
        </w:rPr>
        <w:t xml:space="preserve">ки в срок, установленный избирательной комиссией, организующей подготовку и проведение выборов в органы местного самоуправления.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  <w:footnote w:id="4">
    <w:p>
      <w:pPr>
        <w:pStyle w:val="1093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1062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соответствии с </w:t>
      </w:r>
      <w:hyperlink r:id="rId15" w:tooltip="https://login.consultant.ru/link/?req=doc&amp;base=RLAW021&amp;n=192137&amp;dst=101911" w:history="1">
        <w:r>
          <w:rPr>
            <w:rFonts w:ascii="Times New Roman" w:hAnsi="Times New Roman" w:cs="Times New Roman"/>
            <w:sz w:val="18"/>
            <w:szCs w:val="18"/>
          </w:rPr>
          <w:t xml:space="preserve">частью </w:t>
        </w:r>
        <w:r>
          <w:rPr>
            <w:rFonts w:ascii="Times New Roman" w:hAnsi="Times New Roman" w:cs="Times New Roman"/>
            <w:sz w:val="18"/>
            <w:szCs w:val="18"/>
          </w:rPr>
          <w:t xml:space="preserve">17</w:t>
        </w:r>
        <w:r>
          <w:rPr>
            <w:rFonts w:ascii="Times New Roman" w:hAnsi="Times New Roman" w:cs="Times New Roman"/>
            <w:sz w:val="18"/>
            <w:szCs w:val="18"/>
          </w:rPr>
          <w:t xml:space="preserve"> статьи 3</w:t>
        </w:r>
        <w:r>
          <w:rPr>
            <w:rFonts w:ascii="Times New Roman" w:hAnsi="Times New Roman" w:cs="Times New Roman"/>
            <w:sz w:val="18"/>
            <w:szCs w:val="18"/>
          </w:rPr>
          <w:t xml:space="preserve">8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Закона № </w:t>
      </w:r>
      <w:r>
        <w:rPr>
          <w:rFonts w:ascii="Times New Roman" w:hAnsi="Times New Roman" w:cs="Times New Roman"/>
          <w:sz w:val="18"/>
          <w:szCs w:val="18"/>
        </w:rPr>
        <w:t xml:space="preserve">4708</w:t>
      </w:r>
      <w:r>
        <w:rPr>
          <w:rFonts w:ascii="Times New Roman" w:hAnsi="Times New Roman" w:cs="Times New Roman"/>
          <w:sz w:val="18"/>
          <w:szCs w:val="18"/>
        </w:rPr>
        <w:t xml:space="preserve">-ЗПО и </w:t>
      </w:r>
      <w:hyperlink r:id="rId16" w:tooltip="https://login.consultant.ru/link/?req=doc&amp;base=RLAW021&amp;n=192138&amp;dst=102189" w:history="1">
        <w:r>
          <w:rPr>
            <w:rFonts w:ascii="Times New Roman" w:hAnsi="Times New Roman" w:cs="Times New Roman"/>
            <w:sz w:val="18"/>
            <w:szCs w:val="18"/>
          </w:rPr>
          <w:t xml:space="preserve">частью </w:t>
        </w:r>
        <w:r>
          <w:rPr>
            <w:rFonts w:ascii="Times New Roman" w:hAnsi="Times New Roman" w:cs="Times New Roman"/>
            <w:sz w:val="18"/>
            <w:szCs w:val="18"/>
          </w:rPr>
          <w:t xml:space="preserve">17</w:t>
        </w:r>
        <w:r>
          <w:rPr>
            <w:rFonts w:ascii="Times New Roman" w:hAnsi="Times New Roman" w:cs="Times New Roman"/>
            <w:sz w:val="18"/>
            <w:szCs w:val="18"/>
          </w:rPr>
          <w:t xml:space="preserve"> статьи 3</w:t>
        </w:r>
        <w:r>
          <w:rPr>
            <w:rFonts w:ascii="Times New Roman" w:hAnsi="Times New Roman" w:cs="Times New Roman"/>
            <w:sz w:val="18"/>
            <w:szCs w:val="18"/>
          </w:rPr>
          <w:t xml:space="preserve">9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Закона № </w:t>
      </w:r>
      <w:r>
        <w:rPr>
          <w:rFonts w:ascii="Times New Roman" w:hAnsi="Times New Roman" w:cs="Times New Roman"/>
          <w:sz w:val="18"/>
          <w:szCs w:val="18"/>
        </w:rPr>
        <w:t xml:space="preserve">4709</w:t>
      </w:r>
      <w:r>
        <w:rPr>
          <w:rFonts w:ascii="Times New Roman" w:hAnsi="Times New Roman" w:cs="Times New Roman"/>
          <w:sz w:val="18"/>
          <w:szCs w:val="18"/>
        </w:rPr>
        <w:t xml:space="preserve">-ЗПО кандидату и уполномоченному представителю избирательного объединения передается копия итогового протокола п</w:t>
      </w:r>
      <w:r>
        <w:rPr>
          <w:rFonts w:ascii="Times New Roman" w:hAnsi="Times New Roman" w:cs="Times New Roman"/>
          <w:sz w:val="18"/>
          <w:szCs w:val="18"/>
        </w:rPr>
        <w:t xml:space="preserve">роверки подписных листов.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1093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 случае если проведенная ТИК проверка подписных листов повлечет за собой последствия, предусмотренные </w:t>
      </w:r>
      <w:r>
        <w:rPr>
          <w:rFonts w:ascii="Times New Roman" w:hAnsi="Times New Roman" w:cs="Times New Roman"/>
          <w:sz w:val="18"/>
          <w:szCs w:val="18"/>
        </w:rPr>
        <w:t xml:space="preserve">пунктами 8 и 9 части 23 статьи 38</w:t>
      </w:r>
      <w:r>
        <w:rPr>
          <w:rFonts w:ascii="Times New Roman" w:hAnsi="Times New Roman" w:cs="Times New Roman"/>
          <w:sz w:val="18"/>
          <w:szCs w:val="18"/>
        </w:rPr>
        <w:t xml:space="preserve"> Закона № </w:t>
      </w:r>
      <w:r>
        <w:rPr>
          <w:rFonts w:ascii="Times New Roman" w:hAnsi="Times New Roman" w:cs="Times New Roman"/>
          <w:sz w:val="18"/>
          <w:szCs w:val="18"/>
        </w:rPr>
        <w:t xml:space="preserve">4708</w:t>
      </w:r>
      <w:r>
        <w:rPr>
          <w:rFonts w:ascii="Times New Roman" w:hAnsi="Times New Roman" w:cs="Times New Roman"/>
          <w:sz w:val="18"/>
          <w:szCs w:val="18"/>
        </w:rPr>
        <w:t xml:space="preserve">-ЗПО, </w:t>
      </w:r>
      <w:r>
        <w:rPr>
          <w:rFonts w:ascii="Times New Roman" w:hAnsi="Times New Roman" w:cs="Times New Roman"/>
          <w:sz w:val="18"/>
          <w:szCs w:val="18"/>
        </w:rPr>
        <w:t xml:space="preserve">пу</w:t>
      </w:r>
      <w:r>
        <w:rPr>
          <w:rFonts w:ascii="Times New Roman" w:hAnsi="Times New Roman" w:cs="Times New Roman"/>
          <w:sz w:val="18"/>
          <w:szCs w:val="18"/>
        </w:rPr>
        <w:t xml:space="preserve">нктами 8 и 9 части 23 или пунктами 6 и 7 части 24 статьи 39 </w:t>
      </w:r>
      <w:r>
        <w:rPr>
          <w:rFonts w:ascii="Times New Roman" w:hAnsi="Times New Roman" w:cs="Times New Roman"/>
          <w:sz w:val="18"/>
          <w:szCs w:val="18"/>
        </w:rPr>
        <w:t xml:space="preserve">Закона № </w:t>
      </w:r>
      <w:r>
        <w:rPr>
          <w:rFonts w:ascii="Times New Roman" w:hAnsi="Times New Roman" w:cs="Times New Roman"/>
          <w:sz w:val="18"/>
          <w:szCs w:val="18"/>
        </w:rPr>
        <w:t xml:space="preserve">4709</w:t>
      </w:r>
      <w:r>
        <w:rPr>
          <w:rFonts w:ascii="Times New Roman" w:hAnsi="Times New Roman" w:cs="Times New Roman"/>
          <w:sz w:val="18"/>
          <w:szCs w:val="18"/>
        </w:rPr>
        <w:t xml:space="preserve">-ЗПО, кандидат, уполномоченный представитель избирательного объединения вправе получить в ТИК одновременно с копией итогового протокола заверенные копии ведомостей проверки подписных листов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в которых указываются основания (пр</w:t>
      </w:r>
      <w:r>
        <w:rPr>
          <w:rFonts w:ascii="Times New Roman" w:hAnsi="Times New Roman" w:cs="Times New Roman"/>
          <w:sz w:val="18"/>
          <w:szCs w:val="18"/>
        </w:rPr>
        <w:t xml:space="preserve">ичины) признания подписей избирателей недостоверными и (или) недействительными, с указанием номеров папки, подписного листа и строки в подписном листе, в которых содержится каждая из таких подписей, а также получить копии официальных документов, на основан</w:t>
      </w:r>
      <w:r>
        <w:rPr>
          <w:rFonts w:ascii="Times New Roman" w:hAnsi="Times New Roman" w:cs="Times New Roman"/>
          <w:sz w:val="18"/>
          <w:szCs w:val="18"/>
        </w:rPr>
        <w:t xml:space="preserve">ии которых соответствующие подписи были признаны недостоверными и (или) недействительными.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</w:footnote>
  <w:footnote w:id="5">
    <w:p>
      <w:pPr>
        <w:pStyle w:val="1093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1062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Перечень оснований отказа в регистрации кандидата предусмотрен </w:t>
      </w:r>
      <w:hyperlink r:id="rId17" w:tooltip="https://login.consultant.ru/link/?req=doc&amp;base=RLAW021&amp;n=192137&amp;dst=100491" w:history="1">
        <w:r>
          <w:rPr>
            <w:rFonts w:ascii="Times New Roman" w:hAnsi="Times New Roman" w:cs="Times New Roman"/>
            <w:sz w:val="18"/>
            <w:szCs w:val="18"/>
          </w:rPr>
          <w:t xml:space="preserve">частью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23 статьи 38</w:t>
      </w:r>
      <w:r>
        <w:rPr>
          <w:rFonts w:ascii="Times New Roman" w:hAnsi="Times New Roman" w:cs="Times New Roman"/>
          <w:sz w:val="18"/>
          <w:szCs w:val="18"/>
        </w:rPr>
        <w:t xml:space="preserve"> Закона N </w:t>
      </w:r>
      <w:r>
        <w:rPr>
          <w:rFonts w:ascii="Times New Roman" w:hAnsi="Times New Roman" w:cs="Times New Roman"/>
          <w:sz w:val="18"/>
          <w:szCs w:val="18"/>
        </w:rPr>
        <w:t xml:space="preserve">4708</w:t>
      </w:r>
      <w:r>
        <w:rPr>
          <w:rFonts w:ascii="Times New Roman" w:hAnsi="Times New Roman" w:cs="Times New Roman"/>
          <w:sz w:val="18"/>
          <w:szCs w:val="18"/>
        </w:rPr>
        <w:t xml:space="preserve">-ЗПО.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1093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Перечень оснований отказа в регистрации кандидата, списка кандидатов предусмотрен </w:t>
      </w:r>
      <w:r>
        <w:rPr>
          <w:rFonts w:ascii="Times New Roman" w:hAnsi="Times New Roman" w:cs="Times New Roman"/>
          <w:sz w:val="18"/>
          <w:szCs w:val="18"/>
        </w:rPr>
        <w:t xml:space="preserve">частями 23, 24 статьи 39</w:t>
      </w:r>
      <w:r>
        <w:rPr>
          <w:rFonts w:ascii="Times New Roman" w:hAnsi="Times New Roman" w:cs="Times New Roman"/>
          <w:sz w:val="18"/>
          <w:szCs w:val="18"/>
        </w:rPr>
        <w:t xml:space="preserve"> Закона N </w:t>
      </w:r>
      <w:r>
        <w:rPr>
          <w:rFonts w:ascii="Times New Roman" w:hAnsi="Times New Roman" w:cs="Times New Roman"/>
          <w:sz w:val="18"/>
          <w:szCs w:val="18"/>
        </w:rPr>
        <w:t xml:space="preserve">4709</w:t>
      </w:r>
      <w:r>
        <w:rPr>
          <w:rFonts w:ascii="Times New Roman" w:hAnsi="Times New Roman" w:cs="Times New Roman"/>
          <w:sz w:val="18"/>
          <w:szCs w:val="18"/>
        </w:rPr>
        <w:t xml:space="preserve">-ЗПО.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1093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Перечень оснований об исключении кандидатов из списков кандидатов предусмотрен </w:t>
      </w:r>
      <w:hyperlink r:id="rId18" w:tooltip="https://login.consultant.ru/link/?req=doc&amp;base=RLAW021&amp;n=192137&amp;dst=100506" w:history="1">
        <w:r>
          <w:rPr>
            <w:rFonts w:ascii="Times New Roman" w:hAnsi="Times New Roman" w:cs="Times New Roman"/>
            <w:sz w:val="18"/>
            <w:szCs w:val="18"/>
          </w:rPr>
          <w:t xml:space="preserve">частью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25 статьи 39</w:t>
      </w:r>
      <w:r>
        <w:rPr>
          <w:rFonts w:ascii="Times New Roman" w:hAnsi="Times New Roman" w:cs="Times New Roman"/>
          <w:sz w:val="18"/>
          <w:szCs w:val="18"/>
        </w:rPr>
        <w:t xml:space="preserve"> Закона N </w:t>
      </w:r>
      <w:r>
        <w:rPr>
          <w:rFonts w:ascii="Times New Roman" w:hAnsi="Times New Roman" w:cs="Times New Roman"/>
          <w:sz w:val="18"/>
          <w:szCs w:val="18"/>
        </w:rPr>
        <w:t xml:space="preserve">4709</w:t>
      </w:r>
      <w:r>
        <w:rPr>
          <w:rFonts w:ascii="Times New Roman" w:hAnsi="Times New Roman" w:cs="Times New Roman"/>
          <w:sz w:val="18"/>
          <w:szCs w:val="18"/>
        </w:rPr>
        <w:t xml:space="preserve">-ЗПО.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1093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Перечни оснований отказа в регистрации кандидата, списка кандидатов, исключения кандидата из списка кандидатов по решению Комиссии являются исчерпывающими.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5</w:t>
    </w:r>
    <w:r>
      <w:fldChar w:fldCharType="end"/>
    </w:r>
    <w:r/>
  </w:p>
  <w:p>
    <w:pPr>
      <w:pStyle w:val="92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7"/>
      <w:rPr>
        <w:rStyle w:val="1082"/>
      </w:rPr>
      <w:framePr w:wrap="around" w:vAnchor="text" w:hAnchor="margin" w:xAlign="center" w:y="1"/>
    </w:pPr>
    <w:r>
      <w:rPr>
        <w:rStyle w:val="1082"/>
      </w:rPr>
      <w:fldChar w:fldCharType="begin"/>
    </w:r>
    <w:r>
      <w:rPr>
        <w:rStyle w:val="1082"/>
      </w:rPr>
      <w:instrText xml:space="preserve">PAGE  </w:instrText>
    </w:r>
    <w:r>
      <w:rPr>
        <w:rStyle w:val="1082"/>
      </w:rPr>
      <w:fldChar w:fldCharType="end"/>
    </w:r>
    <w:r>
      <w:rPr>
        <w:rStyle w:val="1082"/>
      </w:rPr>
    </w:r>
    <w:r>
      <w:rPr>
        <w:rStyle w:val="1082"/>
      </w:rPr>
    </w:r>
  </w:p>
  <w:p>
    <w:pPr>
      <w:pStyle w:val="92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84">
    <w:name w:val="Heading 1 Char"/>
    <w:basedOn w:val="905"/>
    <w:link w:val="89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85">
    <w:name w:val="Heading 3 Char"/>
    <w:basedOn w:val="905"/>
    <w:link w:val="89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86">
    <w:name w:val="Heading 4 Char"/>
    <w:basedOn w:val="905"/>
    <w:link w:val="89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87">
    <w:name w:val="Heading 5 Char"/>
    <w:basedOn w:val="905"/>
    <w:link w:val="90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88">
    <w:name w:val="Heading 8 Char"/>
    <w:basedOn w:val="905"/>
    <w:link w:val="90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89">
    <w:name w:val="Heading 9 Char"/>
    <w:basedOn w:val="905"/>
    <w:link w:val="9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90">
    <w:name w:val="Title Char"/>
    <w:basedOn w:val="905"/>
    <w:link w:val="919"/>
    <w:uiPriority w:val="10"/>
    <w:rPr>
      <w:sz w:val="48"/>
      <w:szCs w:val="48"/>
    </w:rPr>
  </w:style>
  <w:style w:type="character" w:styleId="891">
    <w:name w:val="Subtitle Char"/>
    <w:basedOn w:val="905"/>
    <w:link w:val="921"/>
    <w:uiPriority w:val="11"/>
    <w:rPr>
      <w:sz w:val="24"/>
      <w:szCs w:val="24"/>
    </w:rPr>
  </w:style>
  <w:style w:type="character" w:styleId="892">
    <w:name w:val="Quote Char"/>
    <w:link w:val="923"/>
    <w:uiPriority w:val="29"/>
    <w:rPr>
      <w:i/>
    </w:rPr>
  </w:style>
  <w:style w:type="character" w:styleId="893">
    <w:name w:val="Intense Quote Char"/>
    <w:link w:val="925"/>
    <w:uiPriority w:val="30"/>
    <w:rPr>
      <w:i/>
    </w:rPr>
  </w:style>
  <w:style w:type="character" w:styleId="894">
    <w:name w:val="Caption Char"/>
    <w:basedOn w:val="905"/>
    <w:link w:val="931"/>
    <w:uiPriority w:val="35"/>
    <w:rPr>
      <w:b/>
      <w:bCs/>
      <w:color w:val="4f81bd" w:themeColor="accent1"/>
      <w:sz w:val="18"/>
      <w:szCs w:val="18"/>
    </w:rPr>
  </w:style>
  <w:style w:type="paragraph" w:styleId="895" w:default="1">
    <w:name w:val="Normal"/>
    <w:qFormat/>
    <w:rPr>
      <w:sz w:val="24"/>
      <w:szCs w:val="24"/>
      <w:lang w:eastAsia="ru-RU"/>
    </w:rPr>
  </w:style>
  <w:style w:type="paragraph" w:styleId="896">
    <w:name w:val="Heading 1"/>
    <w:basedOn w:val="895"/>
    <w:next w:val="895"/>
    <w:link w:val="908"/>
    <w:qFormat/>
    <w:pPr>
      <w:ind w:left="-400" w:right="-146" w:firstLine="400"/>
      <w:jc w:val="center"/>
      <w:keepNext/>
      <w:outlineLvl w:val="0"/>
    </w:pPr>
    <w:rPr>
      <w:sz w:val="28"/>
      <w:szCs w:val="28"/>
    </w:rPr>
  </w:style>
  <w:style w:type="paragraph" w:styleId="897">
    <w:name w:val="Heading 2"/>
    <w:basedOn w:val="895"/>
    <w:next w:val="895"/>
    <w:link w:val="1083"/>
    <w:qFormat/>
    <w:pPr>
      <w:jc w:val="right"/>
      <w:keepNext/>
      <w:outlineLvl w:val="1"/>
    </w:pPr>
    <w:rPr>
      <w:sz w:val="28"/>
      <w:szCs w:val="20"/>
      <w:lang w:val="en-US" w:eastAsia="en-US"/>
    </w:rPr>
  </w:style>
  <w:style w:type="paragraph" w:styleId="898">
    <w:name w:val="Heading 3"/>
    <w:basedOn w:val="895"/>
    <w:next w:val="895"/>
    <w:link w:val="910"/>
    <w:qFormat/>
    <w:pPr>
      <w:jc w:val="center"/>
      <w:keepNext/>
      <w:outlineLvl w:val="2"/>
    </w:pPr>
    <w:rPr>
      <w:b/>
      <w:sz w:val="28"/>
      <w:szCs w:val="20"/>
    </w:rPr>
  </w:style>
  <w:style w:type="paragraph" w:styleId="899">
    <w:name w:val="Heading 4"/>
    <w:basedOn w:val="895"/>
    <w:next w:val="895"/>
    <w:link w:val="91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900">
    <w:name w:val="Heading 5"/>
    <w:basedOn w:val="895"/>
    <w:next w:val="895"/>
    <w:link w:val="91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901">
    <w:name w:val="Heading 6"/>
    <w:basedOn w:val="895"/>
    <w:next w:val="895"/>
    <w:link w:val="1084"/>
    <w:qFormat/>
    <w:pPr>
      <w:jc w:val="both"/>
      <w:keepNext/>
      <w:outlineLvl w:val="5"/>
    </w:pPr>
    <w:rPr>
      <w:b/>
      <w:bCs/>
      <w:sz w:val="20"/>
      <w:lang w:val="en-US" w:eastAsia="en-US"/>
    </w:rPr>
  </w:style>
  <w:style w:type="paragraph" w:styleId="902">
    <w:name w:val="Heading 7"/>
    <w:basedOn w:val="895"/>
    <w:next w:val="895"/>
    <w:link w:val="1085"/>
    <w:qFormat/>
    <w:pPr>
      <w:keepNext/>
      <w:outlineLvl w:val="6"/>
    </w:pPr>
    <w:rPr>
      <w:b/>
      <w:bCs/>
      <w:sz w:val="20"/>
      <w:lang w:val="en-US" w:eastAsia="en-US"/>
    </w:rPr>
  </w:style>
  <w:style w:type="paragraph" w:styleId="903">
    <w:name w:val="Heading 8"/>
    <w:basedOn w:val="895"/>
    <w:next w:val="895"/>
    <w:link w:val="91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04">
    <w:name w:val="Heading 9"/>
    <w:basedOn w:val="895"/>
    <w:next w:val="895"/>
    <w:link w:val="91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905" w:default="1">
    <w:name w:val="Default Paragraph Font"/>
    <w:uiPriority w:val="1"/>
    <w:semiHidden/>
    <w:unhideWhenUsed/>
  </w:style>
  <w:style w:type="table" w:styleId="9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7" w:default="1">
    <w:name w:val="No List"/>
    <w:uiPriority w:val="99"/>
    <w:semiHidden/>
    <w:unhideWhenUsed/>
  </w:style>
  <w:style w:type="character" w:styleId="908" w:customStyle="1">
    <w:name w:val="Заголовок 1 Знак"/>
    <w:link w:val="89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909" w:customStyle="1">
    <w:name w:val="Heading 2 Char"/>
    <w:uiPriority w:val="9"/>
    <w:rPr>
      <w:rFonts w:ascii="Liberation Sans" w:hAnsi="Liberation Sans" w:eastAsia="Liberation Sans" w:cs="Liberation Sans"/>
      <w:sz w:val="34"/>
    </w:rPr>
  </w:style>
  <w:style w:type="character" w:styleId="910" w:customStyle="1">
    <w:name w:val="Заголовок 3 Знак"/>
    <w:link w:val="89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911" w:customStyle="1">
    <w:name w:val="Заголовок 4 Знак"/>
    <w:link w:val="89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912" w:customStyle="1">
    <w:name w:val="Заголовок 5 Знак"/>
    <w:link w:val="90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913" w:customStyle="1">
    <w:name w:val="Heading 6 Char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914" w:customStyle="1">
    <w:name w:val="Heading 7 Char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915" w:customStyle="1">
    <w:name w:val="Заголовок 8 Знак"/>
    <w:link w:val="90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16" w:customStyle="1">
    <w:name w:val="Заголовок 9 Знак"/>
    <w:link w:val="9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917">
    <w:name w:val="List Paragraph"/>
    <w:basedOn w:val="895"/>
    <w:uiPriority w:val="34"/>
    <w:qFormat/>
    <w:pPr>
      <w:contextualSpacing/>
      <w:ind w:left="720"/>
    </w:pPr>
  </w:style>
  <w:style w:type="paragraph" w:styleId="918">
    <w:name w:val="No Spacing"/>
    <w:uiPriority w:val="1"/>
    <w:qFormat/>
  </w:style>
  <w:style w:type="paragraph" w:styleId="919">
    <w:name w:val="Title"/>
    <w:basedOn w:val="895"/>
    <w:next w:val="895"/>
    <w:link w:val="9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20" w:customStyle="1">
    <w:name w:val="Название Знак"/>
    <w:link w:val="919"/>
    <w:uiPriority w:val="10"/>
    <w:rPr>
      <w:sz w:val="48"/>
      <w:szCs w:val="48"/>
    </w:rPr>
  </w:style>
  <w:style w:type="paragraph" w:styleId="921">
    <w:name w:val="Subtitle"/>
    <w:basedOn w:val="895"/>
    <w:next w:val="895"/>
    <w:link w:val="922"/>
    <w:uiPriority w:val="11"/>
    <w:qFormat/>
    <w:pPr>
      <w:spacing w:before="200" w:after="200"/>
    </w:pPr>
  </w:style>
  <w:style w:type="character" w:styleId="922" w:customStyle="1">
    <w:name w:val="Подзаголовок Знак"/>
    <w:link w:val="921"/>
    <w:uiPriority w:val="11"/>
    <w:rPr>
      <w:sz w:val="24"/>
      <w:szCs w:val="24"/>
    </w:rPr>
  </w:style>
  <w:style w:type="paragraph" w:styleId="923">
    <w:name w:val="Quote"/>
    <w:basedOn w:val="895"/>
    <w:next w:val="895"/>
    <w:link w:val="924"/>
    <w:uiPriority w:val="29"/>
    <w:qFormat/>
    <w:pPr>
      <w:ind w:left="720" w:right="720"/>
    </w:pPr>
    <w:rPr>
      <w:i/>
    </w:rPr>
  </w:style>
  <w:style w:type="character" w:styleId="924" w:customStyle="1">
    <w:name w:val="Цитата 2 Знак"/>
    <w:link w:val="923"/>
    <w:uiPriority w:val="29"/>
    <w:rPr>
      <w:i/>
    </w:rPr>
  </w:style>
  <w:style w:type="paragraph" w:styleId="925">
    <w:name w:val="Intense Quote"/>
    <w:basedOn w:val="895"/>
    <w:next w:val="895"/>
    <w:link w:val="9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26" w:customStyle="1">
    <w:name w:val="Выделенная цитата Знак"/>
    <w:link w:val="925"/>
    <w:uiPriority w:val="30"/>
    <w:rPr>
      <w:i/>
    </w:rPr>
  </w:style>
  <w:style w:type="paragraph" w:styleId="927">
    <w:name w:val="Header"/>
    <w:basedOn w:val="895"/>
    <w:link w:val="1086"/>
    <w:pPr>
      <w:tabs>
        <w:tab w:val="center" w:pos="4677" w:leader="none"/>
        <w:tab w:val="right" w:pos="9355" w:leader="none"/>
      </w:tabs>
    </w:pPr>
    <w:rPr>
      <w:sz w:val="20"/>
      <w:szCs w:val="20"/>
    </w:rPr>
  </w:style>
  <w:style w:type="character" w:styleId="928" w:customStyle="1">
    <w:name w:val="Header Char"/>
    <w:uiPriority w:val="99"/>
  </w:style>
  <w:style w:type="paragraph" w:styleId="929">
    <w:name w:val="Footer"/>
    <w:basedOn w:val="895"/>
    <w:link w:val="1089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30" w:customStyle="1">
    <w:name w:val="Footer Char"/>
    <w:uiPriority w:val="99"/>
  </w:style>
  <w:style w:type="paragraph" w:styleId="931">
    <w:name w:val="Caption"/>
    <w:basedOn w:val="895"/>
    <w:next w:val="895"/>
    <w:link w:val="932"/>
    <w:qFormat/>
    <w:pPr>
      <w:jc w:val="center"/>
    </w:pPr>
    <w:rPr>
      <w:b/>
      <w:bCs/>
      <w:spacing w:val="40"/>
      <w:sz w:val="36"/>
      <w:szCs w:val="20"/>
    </w:rPr>
  </w:style>
  <w:style w:type="character" w:styleId="932" w:customStyle="1">
    <w:name w:val="Название объекта Знак"/>
    <w:link w:val="931"/>
    <w:uiPriority w:val="35"/>
    <w:rPr>
      <w:b/>
      <w:bCs/>
      <w:color w:val="4f81bd" w:themeColor="accent1"/>
      <w:sz w:val="18"/>
      <w:szCs w:val="18"/>
    </w:rPr>
  </w:style>
  <w:style w:type="table" w:styleId="933">
    <w:name w:val="Table Grid"/>
    <w:basedOn w:val="906"/>
    <w:uiPriority w:val="59"/>
    <w:tblPr/>
  </w:style>
  <w:style w:type="table" w:styleId="93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5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36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37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38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40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6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6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6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6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6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6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68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6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7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7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7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7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7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75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7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7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7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7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8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8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82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9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9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9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00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00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00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003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0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01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01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02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02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02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02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1024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2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2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02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02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02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03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031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3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4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4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4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4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4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4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4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4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4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4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5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5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5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5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5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5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5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5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5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059">
    <w:name w:val="Hyperlink"/>
    <w:uiPriority w:val="99"/>
    <w:unhideWhenUsed/>
    <w:rPr>
      <w:color w:val="0000ff" w:themeColor="hyperlink"/>
      <w:u w:val="single"/>
    </w:rPr>
  </w:style>
  <w:style w:type="paragraph" w:styleId="1060">
    <w:name w:val="footnote text"/>
    <w:basedOn w:val="895"/>
    <w:link w:val="1092"/>
    <w:uiPriority w:val="99"/>
    <w:semiHidden/>
    <w:unhideWhenUsed/>
    <w:rPr>
      <w:sz w:val="20"/>
      <w:szCs w:val="20"/>
    </w:rPr>
  </w:style>
  <w:style w:type="character" w:styleId="1061" w:customStyle="1">
    <w:name w:val="Footnote Text Char"/>
    <w:uiPriority w:val="99"/>
    <w:rPr>
      <w:sz w:val="18"/>
    </w:rPr>
  </w:style>
  <w:style w:type="character" w:styleId="1062">
    <w:name w:val="footnote reference"/>
    <w:uiPriority w:val="99"/>
    <w:semiHidden/>
    <w:unhideWhenUsed/>
    <w:rPr>
      <w:vertAlign w:val="superscript"/>
    </w:rPr>
  </w:style>
  <w:style w:type="paragraph" w:styleId="1063">
    <w:name w:val="endnote text"/>
    <w:basedOn w:val="895"/>
    <w:link w:val="1091"/>
    <w:uiPriority w:val="99"/>
    <w:semiHidden/>
    <w:unhideWhenUsed/>
    <w:rPr>
      <w:sz w:val="20"/>
      <w:szCs w:val="20"/>
    </w:rPr>
  </w:style>
  <w:style w:type="character" w:styleId="1064" w:customStyle="1">
    <w:name w:val="Endnote Text Char"/>
    <w:uiPriority w:val="99"/>
    <w:rPr>
      <w:sz w:val="20"/>
    </w:rPr>
  </w:style>
  <w:style w:type="character" w:styleId="1065">
    <w:name w:val="endnote reference"/>
    <w:uiPriority w:val="99"/>
    <w:semiHidden/>
    <w:unhideWhenUsed/>
    <w:rPr>
      <w:vertAlign w:val="superscript"/>
    </w:rPr>
  </w:style>
  <w:style w:type="paragraph" w:styleId="1066">
    <w:name w:val="toc 1"/>
    <w:basedOn w:val="895"/>
    <w:next w:val="895"/>
    <w:uiPriority w:val="39"/>
    <w:unhideWhenUsed/>
    <w:pPr>
      <w:spacing w:after="57"/>
    </w:pPr>
  </w:style>
  <w:style w:type="paragraph" w:styleId="1067">
    <w:name w:val="toc 2"/>
    <w:basedOn w:val="895"/>
    <w:next w:val="895"/>
    <w:uiPriority w:val="39"/>
    <w:unhideWhenUsed/>
    <w:pPr>
      <w:ind w:left="283"/>
      <w:spacing w:after="57"/>
    </w:pPr>
  </w:style>
  <w:style w:type="paragraph" w:styleId="1068">
    <w:name w:val="toc 3"/>
    <w:basedOn w:val="895"/>
    <w:next w:val="895"/>
    <w:uiPriority w:val="39"/>
    <w:unhideWhenUsed/>
    <w:pPr>
      <w:ind w:left="567"/>
      <w:spacing w:after="57"/>
    </w:pPr>
  </w:style>
  <w:style w:type="paragraph" w:styleId="1069">
    <w:name w:val="toc 4"/>
    <w:basedOn w:val="895"/>
    <w:next w:val="895"/>
    <w:uiPriority w:val="39"/>
    <w:unhideWhenUsed/>
    <w:pPr>
      <w:ind w:left="850"/>
      <w:spacing w:after="57"/>
    </w:pPr>
  </w:style>
  <w:style w:type="paragraph" w:styleId="1070">
    <w:name w:val="toc 5"/>
    <w:basedOn w:val="895"/>
    <w:next w:val="895"/>
    <w:uiPriority w:val="39"/>
    <w:unhideWhenUsed/>
    <w:pPr>
      <w:ind w:left="1134"/>
      <w:spacing w:after="57"/>
    </w:pPr>
  </w:style>
  <w:style w:type="paragraph" w:styleId="1071">
    <w:name w:val="toc 6"/>
    <w:basedOn w:val="895"/>
    <w:next w:val="895"/>
    <w:uiPriority w:val="39"/>
    <w:unhideWhenUsed/>
    <w:pPr>
      <w:ind w:left="1417"/>
      <w:spacing w:after="57"/>
    </w:pPr>
  </w:style>
  <w:style w:type="paragraph" w:styleId="1072">
    <w:name w:val="toc 7"/>
    <w:basedOn w:val="895"/>
    <w:next w:val="895"/>
    <w:uiPriority w:val="39"/>
    <w:unhideWhenUsed/>
    <w:pPr>
      <w:ind w:left="1701"/>
      <w:spacing w:after="57"/>
    </w:pPr>
  </w:style>
  <w:style w:type="paragraph" w:styleId="1073">
    <w:name w:val="toc 8"/>
    <w:basedOn w:val="895"/>
    <w:next w:val="895"/>
    <w:uiPriority w:val="39"/>
    <w:unhideWhenUsed/>
    <w:pPr>
      <w:ind w:left="1984"/>
      <w:spacing w:after="57"/>
    </w:pPr>
  </w:style>
  <w:style w:type="paragraph" w:styleId="1074">
    <w:name w:val="toc 9"/>
    <w:basedOn w:val="895"/>
    <w:next w:val="895"/>
    <w:uiPriority w:val="39"/>
    <w:unhideWhenUsed/>
    <w:pPr>
      <w:ind w:left="2268"/>
      <w:spacing w:after="57"/>
    </w:pPr>
  </w:style>
  <w:style w:type="paragraph" w:styleId="1075">
    <w:name w:val="TOC Heading"/>
    <w:uiPriority w:val="39"/>
    <w:unhideWhenUsed/>
  </w:style>
  <w:style w:type="paragraph" w:styleId="1076">
    <w:name w:val="table of figures"/>
    <w:basedOn w:val="895"/>
    <w:next w:val="895"/>
    <w:uiPriority w:val="99"/>
    <w:unhideWhenUsed/>
  </w:style>
  <w:style w:type="paragraph" w:styleId="1077">
    <w:name w:val="Body Text"/>
    <w:basedOn w:val="895"/>
    <w:semiHidden/>
    <w:pPr>
      <w:jc w:val="both"/>
    </w:pPr>
    <w:rPr>
      <w:sz w:val="28"/>
      <w:szCs w:val="20"/>
    </w:rPr>
  </w:style>
  <w:style w:type="paragraph" w:styleId="1078">
    <w:name w:val="Body Text Indent 2"/>
    <w:basedOn w:val="895"/>
    <w:semiHidden/>
    <w:pPr>
      <w:ind w:firstLine="800"/>
      <w:jc w:val="both"/>
      <w:spacing w:before="43" w:line="360" w:lineRule="auto"/>
      <w:shd w:val="clear" w:color="auto" w:fill="ffffff"/>
    </w:pPr>
    <w:rPr>
      <w:color w:val="000000"/>
      <w:spacing w:val="-1"/>
      <w:sz w:val="28"/>
      <w:szCs w:val="28"/>
    </w:rPr>
  </w:style>
  <w:style w:type="paragraph" w:styleId="1079">
    <w:name w:val="Body Text 3"/>
    <w:basedOn w:val="895"/>
    <w:link w:val="1087"/>
    <w:semiHidden/>
    <w:pPr>
      <w:jc w:val="center"/>
      <w:spacing w:before="180"/>
    </w:pPr>
    <w:rPr>
      <w:b/>
      <w:bCs/>
      <w:spacing w:val="20"/>
      <w:sz w:val="16"/>
      <w:szCs w:val="20"/>
      <w:lang w:val="en-US" w:eastAsia="en-US"/>
    </w:rPr>
  </w:style>
  <w:style w:type="paragraph" w:styleId="1080">
    <w:name w:val="Block Text"/>
    <w:basedOn w:val="895"/>
    <w:semiHidden/>
    <w:pPr>
      <w:ind w:left="-301" w:right="924" w:firstLine="1202"/>
      <w:jc w:val="center"/>
      <w:shd w:val="clear" w:color="auto" w:fill="ffffff"/>
    </w:pPr>
    <w:rPr>
      <w:b/>
      <w:bCs/>
      <w:color w:val="313131"/>
      <w:spacing w:val="-2"/>
      <w:sz w:val="28"/>
      <w:szCs w:val="28"/>
    </w:rPr>
  </w:style>
  <w:style w:type="paragraph" w:styleId="1081">
    <w:name w:val="Balloon Text"/>
    <w:basedOn w:val="895"/>
    <w:link w:val="1088"/>
    <w:semiHidden/>
    <w:rPr>
      <w:rFonts w:ascii="Tahoma" w:hAnsi="Tahoma"/>
      <w:sz w:val="16"/>
      <w:szCs w:val="16"/>
      <w:lang w:val="en-US" w:eastAsia="en-US"/>
    </w:rPr>
  </w:style>
  <w:style w:type="character" w:styleId="1082">
    <w:name w:val="page number"/>
    <w:basedOn w:val="905"/>
    <w:semiHidden/>
  </w:style>
  <w:style w:type="character" w:styleId="1083" w:customStyle="1">
    <w:name w:val="Заголовок 2 Знак"/>
    <w:link w:val="897"/>
    <w:rPr>
      <w:sz w:val="28"/>
    </w:rPr>
  </w:style>
  <w:style w:type="character" w:styleId="1084" w:customStyle="1">
    <w:name w:val="Заголовок 6 Знак"/>
    <w:link w:val="901"/>
    <w:rPr>
      <w:b/>
      <w:bCs/>
      <w:szCs w:val="24"/>
    </w:rPr>
  </w:style>
  <w:style w:type="character" w:styleId="1085" w:customStyle="1">
    <w:name w:val="Заголовок 7 Знак"/>
    <w:link w:val="902"/>
    <w:rPr>
      <w:b/>
      <w:bCs/>
      <w:szCs w:val="24"/>
    </w:rPr>
  </w:style>
  <w:style w:type="character" w:styleId="1086" w:customStyle="1">
    <w:name w:val="Верхний колонтитул Знак"/>
    <w:basedOn w:val="905"/>
    <w:link w:val="927"/>
  </w:style>
  <w:style w:type="character" w:styleId="1087" w:customStyle="1">
    <w:name w:val="Основной текст 3 Знак"/>
    <w:link w:val="1079"/>
    <w:semiHidden/>
    <w:rPr>
      <w:b/>
      <w:bCs/>
      <w:spacing w:val="20"/>
      <w:sz w:val="16"/>
    </w:rPr>
  </w:style>
  <w:style w:type="character" w:styleId="1088" w:customStyle="1">
    <w:name w:val="Текст выноски Знак"/>
    <w:link w:val="1081"/>
    <w:semiHidden/>
    <w:rPr>
      <w:rFonts w:ascii="Tahoma" w:hAnsi="Tahoma" w:cs="Tahoma"/>
      <w:sz w:val="16"/>
      <w:szCs w:val="16"/>
    </w:rPr>
  </w:style>
  <w:style w:type="character" w:styleId="1089" w:customStyle="1">
    <w:name w:val="Нижний колонтитул Знак"/>
    <w:link w:val="929"/>
    <w:uiPriority w:val="99"/>
    <w:rPr>
      <w:sz w:val="24"/>
      <w:szCs w:val="24"/>
    </w:rPr>
  </w:style>
  <w:style w:type="character" w:styleId="1090">
    <w:name w:val="Strong"/>
    <w:qFormat/>
    <w:rPr>
      <w:b/>
      <w:bCs/>
    </w:rPr>
  </w:style>
  <w:style w:type="character" w:styleId="1091" w:customStyle="1">
    <w:name w:val="Текст концевой сноски Знак"/>
    <w:basedOn w:val="905"/>
    <w:link w:val="1063"/>
    <w:uiPriority w:val="99"/>
    <w:semiHidden/>
  </w:style>
  <w:style w:type="character" w:styleId="1092" w:customStyle="1">
    <w:name w:val="Текст сноски Знак"/>
    <w:basedOn w:val="905"/>
    <w:link w:val="1060"/>
    <w:uiPriority w:val="99"/>
    <w:semiHidden/>
  </w:style>
  <w:style w:type="paragraph" w:styleId="1093" w:customStyle="1">
    <w:name w:val="ConsPlusNormal"/>
    <w:pPr>
      <w:widowControl w:val="off"/>
    </w:pPr>
    <w:rPr>
      <w:rFonts w:ascii="Calibri" w:hAnsi="Calibri" w:cs="Calibri"/>
      <w:sz w:val="22"/>
      <w:szCs w:val="22"/>
      <w:lang w:eastAsia="ru-RU"/>
    </w:rPr>
  </w:style>
  <w:style w:type="paragraph" w:styleId="1094">
    <w:name w:val="Body Text Indent"/>
    <w:basedOn w:val="895"/>
    <w:link w:val="1095"/>
    <w:uiPriority w:val="99"/>
    <w:semiHidden/>
    <w:unhideWhenUsed/>
    <w:pPr>
      <w:ind w:left="283"/>
      <w:spacing w:after="120"/>
    </w:pPr>
  </w:style>
  <w:style w:type="character" w:styleId="1095" w:customStyle="1">
    <w:name w:val="Основной текст с отступом Знак"/>
    <w:basedOn w:val="905"/>
    <w:link w:val="1094"/>
    <w:uiPriority w:val="99"/>
    <w:semiHidden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yperlink" Target="https://login.consultant.ru/link/?req=doc&amp;base=LAW&amp;n=476456" TargetMode="External"/><Relationship Id="rId11" Type="http://schemas.openxmlformats.org/officeDocument/2006/relationships/hyperlink" Target="https://login.consultant.ru/link/?req=doc&amp;base=RLAW021&amp;n=192137" TargetMode="External"/><Relationship Id="rId12" Type="http://schemas.openxmlformats.org/officeDocument/2006/relationships/hyperlink" Target="https://login.consultant.ru/link/?req=doc&amp;base=RLAW021&amp;n=192138" TargetMode="External"/><Relationship Id="rId13" Type="http://schemas.openxmlformats.org/officeDocument/2006/relationships/hyperlink" Target="https://login.consultant.ru/link/?req=doc&amp;base=RLAW021&amp;n=192137" TargetMode="External"/><Relationship Id="rId14" Type="http://schemas.openxmlformats.org/officeDocument/2006/relationships/hyperlink" Target="https://login.consultant.ru/link/?req=doc&amp;base=RLAW021&amp;n=192138" TargetMode="External"/><Relationship Id="rId15" Type="http://schemas.openxmlformats.org/officeDocument/2006/relationships/hyperlink" Target="https://login.consultant.ru/link/?req=doc&amp;base=RLAW021&amp;n=192137" TargetMode="External"/><Relationship Id="rId16" Type="http://schemas.openxmlformats.org/officeDocument/2006/relationships/hyperlink" Target="https://login.consultant.ru/link/?req=doc&amp;base=RLAW021&amp;n=192138" TargetMode="External"/><Relationship Id="rId17" Type="http://schemas.openxmlformats.org/officeDocument/2006/relationships/hyperlink" Target="https://login.consultant.ru/link/?req=doc&amp;base=RLAW021&amp;n=192137" TargetMode="External"/><Relationship Id="rId18" Type="http://schemas.openxmlformats.org/officeDocument/2006/relationships/hyperlink" Target="https://login.consultant.ru/link/?req=doc&amp;base=RLAW021&amp;n=192137" TargetMode="External"/><Relationship Id="rId19" Type="http://schemas.openxmlformats.org/officeDocument/2006/relationships/hyperlink" Target="https://login.consultant.ru/link/?req=doc&amp;base=LAW&amp;n=452899" TargetMode="External"/><Relationship Id="rId20" Type="http://schemas.openxmlformats.org/officeDocument/2006/relationships/hyperlink" Target="https://login.consultant.ru/link/?req=doc&amp;base=RLAW021&amp;n=192137" TargetMode="External"/><Relationship Id="rId21" Type="http://schemas.openxmlformats.org/officeDocument/2006/relationships/hyperlink" Target="https://login.consultant.ru/link/?req=doc&amp;base=RLAW021&amp;n=19213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login.consultant.ru/link/?req=doc&amp;base=RLAW021&amp;n=192137&amp;dst=102107" TargetMode="External"/><Relationship Id="rId2" Type="http://schemas.openxmlformats.org/officeDocument/2006/relationships/hyperlink" Target="https://login.consultant.ru/link/?req=doc&amp;base=RLAW021&amp;n=192138" TargetMode="External"/><Relationship Id="rId3" Type="http://schemas.openxmlformats.org/officeDocument/2006/relationships/hyperlink" Target="https://login.consultant.ru/link/?req=doc&amp;base=RLAW021&amp;n=192137&amp;dst=101900" TargetMode="External"/><Relationship Id="rId4" Type="http://schemas.openxmlformats.org/officeDocument/2006/relationships/hyperlink" Target="https://login.consultant.ru/link/?req=doc&amp;base=RLAW021&amp;n=192137&amp;dst=101711" TargetMode="External"/><Relationship Id="rId5" Type="http://schemas.openxmlformats.org/officeDocument/2006/relationships/hyperlink" Target="https://login.consultant.ru/link/?req=doc&amp;base=RLAW021&amp;n=192137&amp;dst=101905" TargetMode="External"/><Relationship Id="rId6" Type="http://schemas.openxmlformats.org/officeDocument/2006/relationships/hyperlink" Target="https://login.consultant.ru/link/?req=doc&amp;base=RLAW021&amp;n=192138&amp;dst=102179" TargetMode="External"/><Relationship Id="rId7" Type="http://schemas.openxmlformats.org/officeDocument/2006/relationships/hyperlink" Target="https://login.consultant.ru/link/?req=doc&amp;base=RLAW021&amp;n=192138&amp;dst=101966" TargetMode="External"/><Relationship Id="rId8" Type="http://schemas.openxmlformats.org/officeDocument/2006/relationships/hyperlink" Target="https://login.consultant.ru/link/?req=doc&amp;base=RLAW021&amp;n=192138&amp;dst=102184" TargetMode="External"/><Relationship Id="rId9" Type="http://schemas.openxmlformats.org/officeDocument/2006/relationships/hyperlink" Target="https://login.consultant.ru/link/?req=doc&amp;base=RLAW021&amp;n=192137&amp;dst=101900" TargetMode="External"/><Relationship Id="rId10" Type="http://schemas.openxmlformats.org/officeDocument/2006/relationships/hyperlink" Target="https://login.consultant.ru/link/?req=doc&amp;base=RLAW021&amp;n=192137&amp;dst=101711" TargetMode="External"/><Relationship Id="rId11" Type="http://schemas.openxmlformats.org/officeDocument/2006/relationships/hyperlink" Target="https://login.consultant.ru/link/?req=doc&amp;base=RLAW021&amp;n=192138&amp;dst=102179" TargetMode="External"/><Relationship Id="rId12" Type="http://schemas.openxmlformats.org/officeDocument/2006/relationships/hyperlink" Target="https://login.consultant.ru/link/?req=doc&amp;base=RLAW021&amp;n=192138&amp;dst=101966" TargetMode="External"/><Relationship Id="rId13" Type="http://schemas.openxmlformats.org/officeDocument/2006/relationships/hyperlink" Target="https://login.consultant.ru/link/?req=doc&amp;base=RLAW021&amp;n=192137&amp;dst=101905" TargetMode="External"/><Relationship Id="rId14" Type="http://schemas.openxmlformats.org/officeDocument/2006/relationships/hyperlink" Target="https://login.consultant.ru/link/?req=doc&amp;base=RLAW021&amp;n=192138&amp;dst=102184" TargetMode="External"/><Relationship Id="rId15" Type="http://schemas.openxmlformats.org/officeDocument/2006/relationships/hyperlink" Target="https://login.consultant.ru/link/?req=doc&amp;base=RLAW021&amp;n=192137&amp;dst=101911" TargetMode="External"/><Relationship Id="rId16" Type="http://schemas.openxmlformats.org/officeDocument/2006/relationships/hyperlink" Target="https://login.consultant.ru/link/?req=doc&amp;base=RLAW021&amp;n=192138&amp;dst=102189" TargetMode="External"/><Relationship Id="rId17" Type="http://schemas.openxmlformats.org/officeDocument/2006/relationships/hyperlink" Target="https://login.consultant.ru/link/?req=doc&amp;base=RLAW021&amp;n=192137&amp;dst=100491" TargetMode="External"/><Relationship Id="rId18" Type="http://schemas.openxmlformats.org/officeDocument/2006/relationships/hyperlink" Target="https://login.consultant.ru/link/?req=doc&amp;base=RLAW021&amp;n=192137&amp;dst=100506" TargetMode="External"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kfpp</dc:creator>
  <cp:lastModifiedBy>user</cp:lastModifiedBy>
  <cp:revision>119</cp:revision>
  <dcterms:created xsi:type="dcterms:W3CDTF">2022-05-18T12:26:00Z</dcterms:created>
  <dcterms:modified xsi:type="dcterms:W3CDTF">2026-06-19T11:14:18Z</dcterms:modified>
  <cp:version>786432</cp:version>
</cp:coreProperties>
</file>