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21C" w:rsidRPr="00DE621C" w:rsidRDefault="00DE621C" w:rsidP="00DE621C">
      <w:pPr>
        <w:spacing w:after="300" w:line="356" w:lineRule="atLeast"/>
        <w:jc w:val="center"/>
        <w:outlineLvl w:val="6"/>
        <w:rPr>
          <w:rFonts w:ascii="Arial" w:eastAsia="Times New Roman" w:hAnsi="Arial" w:cs="Arial"/>
          <w:b/>
          <w:bCs/>
          <w:color w:val="303030"/>
          <w:sz w:val="36"/>
          <w:szCs w:val="36"/>
        </w:rPr>
      </w:pPr>
      <w:r w:rsidRPr="00DE621C">
        <w:rPr>
          <w:rFonts w:ascii="Arial" w:eastAsia="Times New Roman" w:hAnsi="Arial" w:cs="Arial"/>
          <w:b/>
          <w:bCs/>
          <w:color w:val="303030"/>
          <w:sz w:val="36"/>
          <w:szCs w:val="36"/>
        </w:rPr>
        <w:t>Перечень федеральных и региональных мер поддержки</w:t>
      </w:r>
      <w:r>
        <w:rPr>
          <w:rFonts w:ascii="Arial" w:eastAsia="Times New Roman" w:hAnsi="Arial" w:cs="Arial"/>
          <w:b/>
          <w:bCs/>
          <w:color w:val="303030"/>
          <w:sz w:val="36"/>
          <w:szCs w:val="36"/>
        </w:rPr>
        <w:t xml:space="preserve"> </w:t>
      </w:r>
      <w:r w:rsidRPr="00DE621C">
        <w:rPr>
          <w:rFonts w:ascii="Arial" w:eastAsia="Times New Roman" w:hAnsi="Arial" w:cs="Arial"/>
          <w:b/>
          <w:bCs/>
          <w:color w:val="303030"/>
          <w:sz w:val="36"/>
          <w:szCs w:val="36"/>
        </w:rPr>
        <w:t xml:space="preserve">малого и среднего бизнеса для преодоления последствий новой </w:t>
      </w:r>
      <w:proofErr w:type="spellStart"/>
      <w:r w:rsidRPr="00DE621C">
        <w:rPr>
          <w:rFonts w:ascii="Arial" w:eastAsia="Times New Roman" w:hAnsi="Arial" w:cs="Arial"/>
          <w:b/>
          <w:bCs/>
          <w:color w:val="303030"/>
          <w:sz w:val="36"/>
          <w:szCs w:val="36"/>
        </w:rPr>
        <w:t>коронавирусной</w:t>
      </w:r>
      <w:proofErr w:type="spellEnd"/>
      <w:r w:rsidRPr="00DE621C">
        <w:rPr>
          <w:rFonts w:ascii="Arial" w:eastAsia="Times New Roman" w:hAnsi="Arial" w:cs="Arial"/>
          <w:b/>
          <w:bCs/>
          <w:color w:val="303030"/>
          <w:sz w:val="36"/>
          <w:szCs w:val="36"/>
        </w:rPr>
        <w:t xml:space="preserve"> инфекции</w:t>
      </w:r>
    </w:p>
    <w:p w:rsidR="00DE621C" w:rsidRPr="00DE621C" w:rsidRDefault="00DE621C" w:rsidP="00DE621C">
      <w:pPr>
        <w:spacing w:after="300" w:line="356" w:lineRule="atLeast"/>
        <w:outlineLvl w:val="6"/>
        <w:rPr>
          <w:rFonts w:ascii="Arial" w:eastAsia="Times New Roman" w:hAnsi="Arial" w:cs="Arial"/>
          <w:b/>
          <w:bCs/>
          <w:color w:val="303030"/>
          <w:sz w:val="36"/>
          <w:szCs w:val="36"/>
        </w:rPr>
      </w:pPr>
      <w:r w:rsidRPr="00DE621C">
        <w:rPr>
          <w:rFonts w:ascii="Arial" w:eastAsia="Times New Roman" w:hAnsi="Arial" w:cs="Arial"/>
          <w:b/>
          <w:bCs/>
          <w:color w:val="303030"/>
          <w:sz w:val="36"/>
          <w:szCs w:val="36"/>
        </w:rPr>
        <w:t> </w:t>
      </w:r>
    </w:p>
    <w:tbl>
      <w:tblPr>
        <w:tblW w:w="12765" w:type="dxa"/>
        <w:tblBorders>
          <w:top w:val="single" w:sz="6" w:space="0" w:color="E1E1E1"/>
          <w:left w:val="single" w:sz="6" w:space="0" w:color="E1E1E1"/>
          <w:bottom w:val="single" w:sz="6" w:space="0" w:color="E1E1E1"/>
          <w:right w:val="single" w:sz="6" w:space="0" w:color="E1E1E1"/>
        </w:tblBorders>
        <w:tblCellMar>
          <w:left w:w="0" w:type="dxa"/>
          <w:right w:w="0" w:type="dxa"/>
        </w:tblCellMar>
        <w:tblLook w:val="04A0"/>
      </w:tblPr>
      <w:tblGrid>
        <w:gridCol w:w="567"/>
        <w:gridCol w:w="12198"/>
      </w:tblGrid>
      <w:tr w:rsidR="00DE621C" w:rsidRPr="00DE621C" w:rsidTr="00DE621C">
        <w:tc>
          <w:tcPr>
            <w:tcW w:w="0" w:type="auto"/>
            <w:gridSpan w:val="2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b/>
                <w:bCs/>
                <w:color w:val="3D3D3D"/>
                <w:sz w:val="24"/>
                <w:szCs w:val="24"/>
              </w:rPr>
              <w:t>ФЕДЕРАЛЬНЫЕ МЕРЫ ПОДДЕРЖКИ МСП</w:t>
            </w:r>
          </w:p>
        </w:tc>
      </w:tr>
      <w:tr w:rsidR="00DE621C" w:rsidRPr="00DE621C" w:rsidTr="00DE621C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Постановлением Правительства Российской Федерации от 03.04.2020 № 434 определены 21 наиболее пострадавшая отрасль экономики*</w:t>
            </w:r>
          </w:p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ПО ИТОГАМ ВЫСТУПЛЕНИЯ ПУТИНА В.В. 15 апреля: плюс к 21 отрасли добавят торговлю непродовольственными товарами</w:t>
            </w:r>
          </w:p>
        </w:tc>
      </w:tr>
      <w:tr w:rsidR="00DE621C" w:rsidRPr="00DE621C" w:rsidTr="00DE621C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С 1 апреля 2020 года до конца расчетного периода 2020 года снижены размеры страховых взносов (с 30% до 15%) с выплат выше МРОТ (все субъекты МСП).</w:t>
            </w:r>
          </w:p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Продлён на 6 месяцев срок уплаты по страховым взносам (</w:t>
            </w:r>
            <w:proofErr w:type="spellStart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микропредприятия</w:t>
            </w:r>
            <w:proofErr w:type="spellEnd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 xml:space="preserve"> из списка 21 пострадавшей отрасли).</w:t>
            </w:r>
          </w:p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 xml:space="preserve">ПО ИТОГАМ ВЫСТУПЛЕНИЯ ПУТИНА В.В. 8 апреля: аналогичная отсрочка планируется не только для </w:t>
            </w:r>
            <w:proofErr w:type="spellStart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микропредприятий</w:t>
            </w:r>
            <w:proofErr w:type="spellEnd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, а также для малых и средних из перечня пострадавших отраслей</w:t>
            </w:r>
          </w:p>
        </w:tc>
      </w:tr>
      <w:tr w:rsidR="00DE621C" w:rsidRPr="00DE621C" w:rsidTr="00DE621C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Продление сроков уплаты всех налогов (исключение НДПИ и акцизы) на срок (субъекты МСП из списка 21 пострадавшей отрасли):</w:t>
            </w:r>
          </w:p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 xml:space="preserve">·      до 3-х лет – рассрочка (до 5-ти лет для стратегических, </w:t>
            </w:r>
            <w:proofErr w:type="spellStart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системообразующих</w:t>
            </w:r>
            <w:proofErr w:type="spellEnd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 xml:space="preserve"> и градообразующих </w:t>
            </w: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lastRenderedPageBreak/>
              <w:t>организаций);</w:t>
            </w:r>
          </w:p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·      до 1 года – отсрочка.</w:t>
            </w:r>
          </w:p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Субъекты РФ вправе в 2020 году издавать нормативные правовые акты, предусматривающие в период с 1 января до 31 декабря 2020 года (включительно) продление сроков уплаты налогов, предусмотренных специальными налоговыми режимами (субъекты МСП из списка 21 пострадавшей отрасли)</w:t>
            </w:r>
          </w:p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ПО ИТОГАМ ВЫСТУПЛЕНИЯ ПУТИНА В.В. 8 апреля: после окончания отсрочки погасить её можно будет плавно, ежемесячно, равными долями в течение не менее года после окончания отсрочки</w:t>
            </w:r>
          </w:p>
        </w:tc>
      </w:tr>
      <w:tr w:rsidR="00DE621C" w:rsidRPr="00DE621C" w:rsidTr="00DE621C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С 14 апреля по 31 декабря 2020 года малый и средний бизнес освобожден проверок, предусмотренных </w:t>
            </w:r>
            <w:hyperlink r:id="rId5" w:history="1">
              <w:r w:rsidRPr="00DE621C">
                <w:rPr>
                  <w:rFonts w:ascii="Arial" w:eastAsia="Times New Roman" w:hAnsi="Arial" w:cs="Arial"/>
                  <w:color w:val="447BB1"/>
                  <w:sz w:val="24"/>
                  <w:szCs w:val="24"/>
                  <w:u w:val="single"/>
                </w:rPr>
                <w:t>Законом</w:t>
              </w:r>
            </w:hyperlink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 xml:space="preserve"> о защите прав </w:t>
            </w:r>
            <w:proofErr w:type="spellStart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юрлиц</w:t>
            </w:r>
            <w:proofErr w:type="spellEnd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 xml:space="preserve"> и ИП №294-ФЗ (все субъекты МСП).</w:t>
            </w:r>
          </w:p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 xml:space="preserve">Исключение составляют проверки, </w:t>
            </w:r>
            <w:proofErr w:type="gramStart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основаниями</w:t>
            </w:r>
            <w:proofErr w:type="gramEnd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 xml:space="preserve"> для проведения которых выступают причинение вреда жизни и здоровью граждан или угроза его причинения, возникновение ЧС природного и техногенного характера.</w:t>
            </w:r>
          </w:p>
        </w:tc>
      </w:tr>
      <w:tr w:rsidR="00DE621C" w:rsidRPr="00DE621C" w:rsidTr="00DE621C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Предоставлено право тем, у кого закончилась лицензия, право продолжать заниматься лицензируемой деятельностью. При этом не потребуется (все субъекты МСП):</w:t>
            </w:r>
          </w:p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·         получать новые лицензии или иные разрешения;</w:t>
            </w:r>
          </w:p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·         переоформлять эти документы;</w:t>
            </w:r>
          </w:p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·         продлевать срок их действия.</w:t>
            </w:r>
          </w:p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 xml:space="preserve">Например: </w:t>
            </w:r>
            <w:proofErr w:type="gramStart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 xml:space="preserve">Лицензии на производство и оборот спиртосодержащей продукции, лицензии на пользование недрами, лицензии на оказание услуг связи, телевизионного вещания и (или) радиовещания и др. - итого </w:t>
            </w: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lastRenderedPageBreak/>
              <w:t>7 видов;</w:t>
            </w:r>
            <w:proofErr w:type="gramEnd"/>
          </w:p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Разрешительные документы (аттестация экспертов на право проведения экспертиз, выдача разрешительных документов на оружие, сертификация медработников, допуск на осуществление международных перевозок и др.) – итого 20 видов.</w:t>
            </w:r>
          </w:p>
        </w:tc>
      </w:tr>
      <w:tr w:rsidR="00DE621C" w:rsidRPr="00DE621C" w:rsidTr="00DE621C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Аренда коммерческой недвижимости.</w:t>
            </w:r>
          </w:p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 xml:space="preserve">Арендодатель обязан заключить в течение 30 дней со дня обращения арендатора </w:t>
            </w:r>
            <w:proofErr w:type="spellStart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допсоглашение</w:t>
            </w:r>
            <w:proofErr w:type="spellEnd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 xml:space="preserve"> к договору, предусматривающее отсрочку внесения арендной платы за 2020 год</w:t>
            </w:r>
            <w:proofErr w:type="gramStart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.</w:t>
            </w:r>
            <w:proofErr w:type="gramEnd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 xml:space="preserve"> (</w:t>
            </w:r>
            <w:proofErr w:type="gramStart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п</w:t>
            </w:r>
            <w:proofErr w:type="gramEnd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о договорам аренды недвижимости, заключенных до принятия в этом году решения о введении в субъекте РФ режима повышенной готовности или ЧС) (субъекты МСП из списка 21 пострадавшей отрасли).</w:t>
            </w:r>
          </w:p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Арендатор (субъект МСП) вправе требовать уменьшения арендной платы за 2020 год в связи с невозможностью использовать имущество из-за упомянутого решения региональных властей (все субъекты МСП).</w:t>
            </w:r>
          </w:p>
        </w:tc>
      </w:tr>
      <w:tr w:rsidR="00DE621C" w:rsidRPr="00DE621C" w:rsidTr="00DE621C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 xml:space="preserve">Правительству РФ предоставлено право </w:t>
            </w:r>
            <w:proofErr w:type="gramStart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определять</w:t>
            </w:r>
            <w:proofErr w:type="gramEnd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 xml:space="preserve"> в 2020 году особенности:</w:t>
            </w:r>
          </w:p>
          <w:p w:rsidR="00DE621C" w:rsidRPr="00DE621C" w:rsidRDefault="00DE621C" w:rsidP="00DE621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300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hyperlink r:id="rId6" w:history="1">
              <w:r w:rsidRPr="00DE621C">
                <w:rPr>
                  <w:rFonts w:ascii="Arial" w:eastAsia="Times New Roman" w:hAnsi="Arial" w:cs="Arial"/>
                  <w:color w:val="447BB1"/>
                  <w:sz w:val="24"/>
                  <w:szCs w:val="24"/>
                  <w:u w:val="single"/>
                </w:rPr>
                <w:t>применения</w:t>
              </w:r>
            </w:hyperlink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 неустойки, штрафа, пеней за неисполнение или ненадлежащее исполнение обязательств по договорам участия в долевом строительстве (ДДУ);</w:t>
            </w:r>
          </w:p>
          <w:p w:rsidR="00DE621C" w:rsidRPr="00DE621C" w:rsidRDefault="00DE621C" w:rsidP="00DE621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300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hyperlink r:id="rId7" w:history="1">
              <w:r w:rsidRPr="00DE621C">
                <w:rPr>
                  <w:rFonts w:ascii="Arial" w:eastAsia="Times New Roman" w:hAnsi="Arial" w:cs="Arial"/>
                  <w:color w:val="447BB1"/>
                  <w:sz w:val="24"/>
                  <w:szCs w:val="24"/>
                  <w:u w:val="single"/>
                </w:rPr>
                <w:t>включения</w:t>
              </w:r>
            </w:hyperlink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 недвижимости в </w:t>
            </w:r>
            <w:hyperlink r:id="rId8" w:history="1">
              <w:r w:rsidRPr="00DE621C">
                <w:rPr>
                  <w:rFonts w:ascii="Arial" w:eastAsia="Times New Roman" w:hAnsi="Arial" w:cs="Arial"/>
                  <w:color w:val="447BB1"/>
                  <w:sz w:val="24"/>
                  <w:szCs w:val="24"/>
                  <w:u w:val="single"/>
                </w:rPr>
                <w:t>реестр проблемных объектов</w:t>
              </w:r>
            </w:hyperlink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.</w:t>
            </w:r>
          </w:p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Кроме того, до января 2021 года Правительство РФ среди прочего </w:t>
            </w:r>
            <w:hyperlink r:id="rId9" w:history="1">
              <w:r w:rsidRPr="00DE621C">
                <w:rPr>
                  <w:rFonts w:ascii="Arial" w:eastAsia="Times New Roman" w:hAnsi="Arial" w:cs="Arial"/>
                  <w:color w:val="447BB1"/>
                  <w:sz w:val="24"/>
                  <w:szCs w:val="24"/>
                  <w:u w:val="single"/>
                </w:rPr>
                <w:t>может устанавливать</w:t>
              </w:r>
            </w:hyperlink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 особенности начисления и уплаты пеней в случае несвоевременного внесения платы за жилое помещение и коммунальные услуги, взносов на капремонт. То же самое касается взыскания неустойки за неполную оплату юр</w:t>
            </w:r>
            <w:proofErr w:type="gramStart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.л</w:t>
            </w:r>
            <w:proofErr w:type="gramEnd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ицами газоснабжения, электроснабжения, теплоснабжения, водоснабжения и водоотведения.</w:t>
            </w:r>
          </w:p>
        </w:tc>
      </w:tr>
      <w:tr w:rsidR="00DE621C" w:rsidRPr="00DE621C" w:rsidTr="00DE621C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 xml:space="preserve">Снимаются все отраслевые ограничения на кредитование МСП в рамках льготного кредитования под ставку не более 8,5%. С апреля 2020 года, помимо уже установленного лимита в 175 </w:t>
            </w:r>
            <w:proofErr w:type="spellStart"/>
            <w:proofErr w:type="gramStart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млрд</w:t>
            </w:r>
            <w:proofErr w:type="spellEnd"/>
            <w:proofErr w:type="gramEnd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 xml:space="preserve"> руб., дополнительно выделяются средства в размере 500 </w:t>
            </w:r>
            <w:proofErr w:type="spellStart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млрд</w:t>
            </w:r>
            <w:proofErr w:type="spellEnd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 xml:space="preserve"> руб. (все субъекты МСП).</w:t>
            </w:r>
          </w:p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Также банки начали выдавать беспроцентные кредиты на выплату зарплаты на период до шести месяцев (субъекты МСП из списка 21 пострадавшей отрасли).</w:t>
            </w:r>
          </w:p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ПО ИТОГАМ ВЫСТУПЛЕНИЯ ПУТИНА В.В. 15 апреля: беспроцентные кредиты будут обеспечены гарантией Внешэкономбанка не менее 75% в целях активизации выдачи таких кредитов.</w:t>
            </w:r>
          </w:p>
        </w:tc>
      </w:tr>
      <w:tr w:rsidR="00DE621C" w:rsidRPr="00DE621C" w:rsidTr="00DE621C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 xml:space="preserve">Ограничено максимальное значение </w:t>
            </w:r>
            <w:proofErr w:type="spellStart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эквайринговых</w:t>
            </w:r>
            <w:proofErr w:type="spellEnd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 xml:space="preserve"> комиссий по </w:t>
            </w:r>
            <w:proofErr w:type="spellStart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онлайн-покупкам</w:t>
            </w:r>
            <w:proofErr w:type="spellEnd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 xml:space="preserve"> на период с 15 апреля по 30 сентября 2020 года на уровне не более 1% (в настоящее время 1,2 - 2,2% в зависимости от типа карты или категории товара).</w:t>
            </w:r>
          </w:p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Снижение комиссий предусмотрено для торгово-сервисных предприятий, занимающихся розничной продажей продуктов питания и еды, лекарств и иных товаров медицинского назначения, одежды, товаров повседневного спроса. При этом данное снижение для бытовой техники, электроники и сре</w:t>
            </w:r>
            <w:proofErr w:type="gramStart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дств св</w:t>
            </w:r>
            <w:proofErr w:type="gramEnd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язи установлено при покупке товаров на сумму не более 20 тыс. рублей.</w:t>
            </w:r>
          </w:p>
        </w:tc>
      </w:tr>
      <w:tr w:rsidR="00DE621C" w:rsidRPr="00DE621C" w:rsidTr="00DE621C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 xml:space="preserve">ФНС России, </w:t>
            </w:r>
            <w:proofErr w:type="spellStart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госкорпорации</w:t>
            </w:r>
            <w:proofErr w:type="spellEnd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 xml:space="preserve"> и федеральные госорганы до 1 мая не должны подавать заявления о признании должников банкротами. Аналогичная мера рекомендована Центробанку и региональным властям.</w:t>
            </w:r>
          </w:p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Также принято решение о введении полугодового моратория на банкротство для субъектов МСП из списка 21 пострадавшей отрасли.</w:t>
            </w:r>
          </w:p>
        </w:tc>
      </w:tr>
      <w:tr w:rsidR="00DE621C" w:rsidRPr="00DE621C" w:rsidTr="00DE621C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 xml:space="preserve">Если из-за распространения </w:t>
            </w:r>
            <w:proofErr w:type="spellStart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коронавируса</w:t>
            </w:r>
            <w:proofErr w:type="spellEnd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 xml:space="preserve"> государственный или муниципальный контракт нельзя </w:t>
            </w: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lastRenderedPageBreak/>
              <w:t>исполнить, в течение 2020 года можно изменить его срок или цену (либо и то и другое).</w:t>
            </w:r>
          </w:p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В зависимости от уровня контракта заказчик должен будет подготовить письменное обоснование в соответствии с решением Правительства РФ, субъекта РФ или муниципалитета. Поставщик при необходимости должен предоставить новое обеспечение.</w:t>
            </w:r>
          </w:p>
        </w:tc>
      </w:tr>
      <w:tr w:rsidR="00DE621C" w:rsidRPr="00DE621C" w:rsidTr="00DE621C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Отсрочка платежей по кредитам на срок до 6 месяцев и запрет применять штрафные санкции к заемщикам в период действия отсрочки (субъекты МСП из списка 21 пострадавшей отрасли).</w:t>
            </w:r>
          </w:p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Индивидуальные предприниматели в любых отраслях с потребительскими кредитами (займами) могут воспользоваться </w:t>
            </w:r>
            <w:hyperlink r:id="rId10" w:history="1">
              <w:r w:rsidRPr="00DE621C">
                <w:rPr>
                  <w:rFonts w:ascii="Arial" w:eastAsia="Times New Roman" w:hAnsi="Arial" w:cs="Arial"/>
                  <w:color w:val="447BB1"/>
                  <w:sz w:val="24"/>
                  <w:szCs w:val="24"/>
                  <w:u w:val="single"/>
                </w:rPr>
                <w:t>иным механизмом</w:t>
              </w:r>
            </w:hyperlink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 кредитных каникул:</w:t>
            </w:r>
          </w:p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- максимальная сумма может быть установлена Правительством РФ;</w:t>
            </w:r>
          </w:p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- одним из условий получения кредита является </w:t>
            </w:r>
            <w:hyperlink r:id="rId11" w:history="1">
              <w:r w:rsidRPr="00DE621C">
                <w:rPr>
                  <w:rFonts w:ascii="Arial" w:eastAsia="Times New Roman" w:hAnsi="Arial" w:cs="Arial"/>
                  <w:color w:val="447BB1"/>
                  <w:sz w:val="24"/>
                  <w:szCs w:val="24"/>
                  <w:u w:val="single"/>
                </w:rPr>
                <w:t xml:space="preserve">снижение </w:t>
              </w:r>
              <w:proofErr w:type="gramStart"/>
              <w:r w:rsidRPr="00DE621C">
                <w:rPr>
                  <w:rFonts w:ascii="Arial" w:eastAsia="Times New Roman" w:hAnsi="Arial" w:cs="Arial"/>
                  <w:color w:val="447BB1"/>
                  <w:sz w:val="24"/>
                  <w:szCs w:val="24"/>
                  <w:u w:val="single"/>
                </w:rPr>
                <w:t>доход</w:t>
              </w:r>
              <w:proofErr w:type="gramEnd"/>
            </w:hyperlink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а за месяц, предшествующий обращению, более чем на 30% от среднемесячного дохода заемщиков (</w:t>
            </w:r>
            <w:proofErr w:type="spellStart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созаемщиков</w:t>
            </w:r>
            <w:proofErr w:type="spellEnd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) за 2019 год. Это обстоятельство нужно подтверждать;</w:t>
            </w:r>
          </w:p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- за время каникул проценты начисляются по </w:t>
            </w:r>
            <w:hyperlink r:id="rId12" w:history="1">
              <w:r w:rsidRPr="00DE621C">
                <w:rPr>
                  <w:rFonts w:ascii="Arial" w:eastAsia="Times New Roman" w:hAnsi="Arial" w:cs="Arial"/>
                  <w:color w:val="447BB1"/>
                  <w:sz w:val="24"/>
                  <w:szCs w:val="24"/>
                  <w:u w:val="single"/>
                </w:rPr>
                <w:t>льготной ставке</w:t>
              </w:r>
            </w:hyperlink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 - 2/3 от среднерыночного значения ставок по потребительским кредитам (исключение - кредиты, обеспеченные ипотекой);</w:t>
            </w:r>
          </w:p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- проценты, начисленные за период каникул, уплачиваются заемщиком после исполнения графика платежей, а не включаются в сумму основного долга;</w:t>
            </w:r>
          </w:p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- дата начала каникул может быть определена заемщиком "задним числом", но не ранее чем за 14 дней до даты обращения к кредитору.</w:t>
            </w:r>
          </w:p>
        </w:tc>
      </w:tr>
      <w:tr w:rsidR="00DE621C" w:rsidRPr="00DE621C" w:rsidTr="00DE621C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ПО ИТОГАМ ВЫСТУПЛЕНИЯ ПУТИНА В.В. 15 апреля 2020 г:</w:t>
            </w:r>
          </w:p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lastRenderedPageBreak/>
              <w:t>Предоставление субсидии по 12 130 руб. в месяц на каждого работника по состоянию на 1 апреля с 18 мая при подаче заявки с 1 мая (субъекты МСП из списка 21 пострадавшей отрасли, сохранившие 90% штата сотрудников)</w:t>
            </w:r>
          </w:p>
        </w:tc>
      </w:tr>
    </w:tbl>
    <w:p w:rsidR="00DE621C" w:rsidRPr="00DE621C" w:rsidRDefault="00DE621C" w:rsidP="00DE62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2765" w:type="dxa"/>
        <w:tblBorders>
          <w:top w:val="single" w:sz="6" w:space="0" w:color="E1E1E1"/>
          <w:left w:val="single" w:sz="6" w:space="0" w:color="E1E1E1"/>
          <w:bottom w:val="single" w:sz="6" w:space="0" w:color="E1E1E1"/>
          <w:right w:val="single" w:sz="6" w:space="0" w:color="E1E1E1"/>
        </w:tblBorders>
        <w:tblCellMar>
          <w:left w:w="0" w:type="dxa"/>
          <w:right w:w="0" w:type="dxa"/>
        </w:tblCellMar>
        <w:tblLook w:val="04A0"/>
      </w:tblPr>
      <w:tblGrid>
        <w:gridCol w:w="767"/>
        <w:gridCol w:w="11998"/>
      </w:tblGrid>
      <w:tr w:rsidR="00DE621C" w:rsidRPr="00DE621C" w:rsidTr="00DE621C">
        <w:tc>
          <w:tcPr>
            <w:tcW w:w="0" w:type="auto"/>
            <w:gridSpan w:val="2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b/>
                <w:bCs/>
                <w:color w:val="3D3D3D"/>
                <w:sz w:val="24"/>
                <w:szCs w:val="24"/>
              </w:rPr>
              <w:t>РЕГИОНАЛЬНЫЕ МЕРЫ ПОДДЕРЖКИ МСП</w:t>
            </w:r>
          </w:p>
        </w:tc>
      </w:tr>
      <w:tr w:rsidR="00DE621C" w:rsidRPr="00DE621C" w:rsidTr="00DE621C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 xml:space="preserve">предоставлена отсрочка по оплате арендной платы по объектам, находящимся в собственности Пензенской области для всех организаций, пострадавших от последствий </w:t>
            </w:r>
            <w:proofErr w:type="spellStart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коронавируса</w:t>
            </w:r>
            <w:proofErr w:type="spellEnd"/>
          </w:p>
        </w:tc>
      </w:tr>
      <w:tr w:rsidR="00DE621C" w:rsidRPr="00DE621C" w:rsidTr="00DE621C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 xml:space="preserve">предусмотрена отмена арендных платежей, если субъект малого и среднего предпринимательства подтвердит приостановку деятельности организации по причине последствий от мер по борьбе с </w:t>
            </w:r>
            <w:proofErr w:type="spellStart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коронавирусом</w:t>
            </w:r>
            <w:proofErr w:type="spellEnd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 xml:space="preserve"> на весь срок приостановки деятельности</w:t>
            </w:r>
          </w:p>
        </w:tc>
      </w:tr>
      <w:tr w:rsidR="00DE621C" w:rsidRPr="00DE621C" w:rsidTr="00DE621C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 xml:space="preserve">выдача </w:t>
            </w:r>
            <w:proofErr w:type="spellStart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микрозаймов</w:t>
            </w:r>
            <w:proofErr w:type="spellEnd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 xml:space="preserve"> в АО «Поручитель» по льготной ставке равной 1/2 ставки Центробанка на дату заключения договора (для всех субъектов МСП)</w:t>
            </w:r>
          </w:p>
        </w:tc>
      </w:tr>
      <w:tr w:rsidR="00DE621C" w:rsidRPr="00DE621C" w:rsidTr="00DE621C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предусмотрена реструктуризация задолженности по действующим договорам займов с отсрочкой оплаты основного долга до 10 месяцев и возможностью пролонгации конечного срока договора займа в пределах 36 месяцев от даты заключения договора займа (для всех субъектов МСП, имеющих действующие договора займа в АО «Поручитель»)</w:t>
            </w:r>
          </w:p>
        </w:tc>
      </w:tr>
      <w:tr w:rsidR="00DE621C" w:rsidRPr="00DE621C" w:rsidTr="00DE621C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 xml:space="preserve">предусмотрена реструктуризация задолженности по кредиту, обеспеченному поручительством АО «Поручитель», на условиях, одобренных Банком-кредитором (для всех субъектов МСП, имеющим </w:t>
            </w: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lastRenderedPageBreak/>
              <w:t>действующие договора поручительства в АО «Поручитель»)</w:t>
            </w:r>
          </w:p>
        </w:tc>
      </w:tr>
      <w:tr w:rsidR="00DE621C" w:rsidRPr="00DE621C" w:rsidTr="00DE621C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 xml:space="preserve">предусмотрены кредитные каникулы для действующих заемщиков – льготный период, в течение которого заемщик может уменьшить или приостановить выплаты по действующему договору займа на срок до 6 месяцев, включая задолженность по основному долгу и проценты (для субъектов МСП, относящимся </w:t>
            </w:r>
            <w:proofErr w:type="gramStart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к</w:t>
            </w:r>
            <w:proofErr w:type="gramEnd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 xml:space="preserve"> наиболее </w:t>
            </w:r>
            <w:proofErr w:type="gramStart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пострадавших</w:t>
            </w:r>
            <w:proofErr w:type="gramEnd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 xml:space="preserve"> отраслям экономики в АО «Поручитель»)</w:t>
            </w:r>
          </w:p>
        </w:tc>
      </w:tr>
      <w:tr w:rsidR="00DE621C" w:rsidRPr="00DE621C" w:rsidTr="00DE621C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упрощены требования при получении займов и поручительств в АО «Поручитель» для вновь обратившихся заемщиков (для всех субъектов МСП)</w:t>
            </w:r>
          </w:p>
        </w:tc>
      </w:tr>
      <w:tr w:rsidR="00DE621C" w:rsidRPr="00DE621C" w:rsidTr="00DE621C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снижены комиссии по поручительствам АО «Поручитель» до 0,5% (для всех субъектов МСП)</w:t>
            </w:r>
          </w:p>
        </w:tc>
      </w:tr>
      <w:tr w:rsidR="00DE621C" w:rsidRPr="00DE621C" w:rsidTr="00DE621C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9   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снижение налоговой ставки по упрощенной системе налогообложения для организаций и индивидуальных предпринимателей, занятых в наиболее пострадавших сферах: с 6% до 1% по объекту налогообложения «доходы» и с 15% до 5% по объекту налогообложения «доходы минус расходы»</w:t>
            </w:r>
          </w:p>
        </w:tc>
      </w:tr>
      <w:tr w:rsidR="00DE621C" w:rsidRPr="00DE621C" w:rsidTr="00DE621C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10   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снижение налоговой ставки с 2% до 1,6% в 2020 году по объектам недвижимости, в отношении которых налоговая база определяется как кадастровая стоимость</w:t>
            </w:r>
          </w:p>
        </w:tc>
      </w:tr>
      <w:tr w:rsidR="00DE621C" w:rsidRPr="00DE621C" w:rsidTr="00DE621C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 xml:space="preserve">снижение размера потенциально возможного к получению индивидуальным предпринимателем годового дохода по патентной системе налогообложения в 2020 году в сферах, наиболее пострадавших от распространения </w:t>
            </w:r>
            <w:proofErr w:type="spellStart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коронавирусной</w:t>
            </w:r>
            <w:proofErr w:type="spellEnd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 xml:space="preserve"> инфекции</w:t>
            </w:r>
          </w:p>
        </w:tc>
      </w:tr>
      <w:tr w:rsidR="00DE621C" w:rsidRPr="00DE621C" w:rsidTr="00DE621C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 xml:space="preserve">введение специального налогового режима для </w:t>
            </w:r>
            <w:proofErr w:type="spellStart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самозанятых</w:t>
            </w:r>
            <w:proofErr w:type="spellEnd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 xml:space="preserve"> («Налог на профессиональный доход»), которым могут воспользоваться физические лица и индивидуальные предприниматели по льготной ставке</w:t>
            </w:r>
          </w:p>
        </w:tc>
      </w:tr>
      <w:tr w:rsidR="00DE621C" w:rsidRPr="00DE621C" w:rsidTr="00DE621C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предоставление налоговой льготы по налогу на имущество организаций для арендодателей, снизивших размер арендной платы для арендаторов, осуществляющих предпринимательскую деятельность в наиболее пострадавших сферах. Налоговая льгота будет предоставляться на сумму снижения арендной платы</w:t>
            </w:r>
          </w:p>
        </w:tc>
      </w:tr>
      <w:tr w:rsidR="00DE621C" w:rsidRPr="00DE621C" w:rsidTr="00DE621C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E621C" w:rsidRPr="00DE621C" w:rsidRDefault="00DE621C" w:rsidP="00DE621C">
            <w:pPr>
              <w:spacing w:after="300" w:line="240" w:lineRule="auto"/>
              <w:jc w:val="center"/>
              <w:rPr>
                <w:rFonts w:ascii="Arial" w:eastAsia="Times New Roman" w:hAnsi="Arial" w:cs="Arial"/>
                <w:color w:val="3D3D3D"/>
                <w:sz w:val="24"/>
                <w:szCs w:val="24"/>
              </w:rPr>
            </w:pPr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органами местного самоуправления проводится работа по снижению размера единого налога на вмененный доход для отдельных видов деятельности за счет снижения корректирующего коэффициента К</w:t>
            </w:r>
            <w:proofErr w:type="gramStart"/>
            <w:r w:rsidRPr="00DE621C">
              <w:rPr>
                <w:rFonts w:ascii="Arial" w:eastAsia="Times New Roman" w:hAnsi="Arial" w:cs="Arial"/>
                <w:color w:val="3D3D3D"/>
                <w:sz w:val="24"/>
                <w:szCs w:val="24"/>
              </w:rPr>
              <w:t>2</w:t>
            </w:r>
            <w:proofErr w:type="gramEnd"/>
          </w:p>
        </w:tc>
      </w:tr>
    </w:tbl>
    <w:p w:rsidR="0022606E" w:rsidRDefault="0022606E"/>
    <w:sectPr w:rsidR="0022606E" w:rsidSect="00DE621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5D1594"/>
    <w:multiLevelType w:val="multilevel"/>
    <w:tmpl w:val="95FEAF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621C"/>
    <w:rsid w:val="0022606E"/>
    <w:rsid w:val="00DE6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62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DE62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8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80az8a.xn--d1aqf.xn--p1ai/%D1%81%D0%B5%D1%80%D0%B2%D0%B8%D1%81%D1%8B/%D0%BA%D0%B0%D1%82%D0%B0%D0%BB%D0%BE%D0%B3-%D0%BD%D0%BE%D0%B2%D0%BE%D1%81%D1%82%D1%80%D0%BE%D0%B5%D0%BA/%D1%81%D0%BF%D0%B8%D1%81%D0%BE%D0%BA-%D0%BF%D1%80%D0%BE%D0%B1%D0%BB%D0%B5%D0%BC%D0%BD%D1%8B%D1%85-%D0%BE%D0%B1%D1%8A%D0%B5%D0%BA%D1%82%D0%BE%D0%B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main?base=LAW;n=349080;dst=100187" TargetMode="External"/><Relationship Id="rId12" Type="http://schemas.openxmlformats.org/officeDocument/2006/relationships/hyperlink" Target="consultantplus://offline/ref=main?base=PRJ;n=193240;dst=10006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main?base=LAW;n=349080;dst=100186" TargetMode="External"/><Relationship Id="rId11" Type="http://schemas.openxmlformats.org/officeDocument/2006/relationships/hyperlink" Target="consultantplus://offline/ref=main?base=PRJ;n=193240;dst=100042" TargetMode="External"/><Relationship Id="rId5" Type="http://schemas.openxmlformats.org/officeDocument/2006/relationships/hyperlink" Target="consultantplus://offline/ref=main?base=LAW;n=330405;dst=0" TargetMode="External"/><Relationship Id="rId10" Type="http://schemas.openxmlformats.org/officeDocument/2006/relationships/hyperlink" Target="consultantplus://offline/ref=main?base=PRJ;n=193240;dst=1000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main?base=LAW;n=349080;dst=10019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1646</Words>
  <Characters>9385</Characters>
  <Application>Microsoft Office Word</Application>
  <DocSecurity>0</DocSecurity>
  <Lines>78</Lines>
  <Paragraphs>22</Paragraphs>
  <ScaleCrop>false</ScaleCrop>
  <Company/>
  <LinksUpToDate>false</LinksUpToDate>
  <CharactersWithSpaces>11009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2020-05-14T11:09:00Z</dcterms:created>
  <dcterms:modified xsi:type="dcterms:W3CDTF">2020-05-14T11:09:00Z</dcterms:modified>
</cp:coreProperties>
</file>